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BEA" w:rsidRPr="00655BEA" w:rsidRDefault="00655BEA" w:rsidP="00655BEA">
      <w:pPr>
        <w:spacing w:line="480" w:lineRule="auto"/>
        <w:rPr>
          <w:rFonts w:ascii="Times New Roman" w:hAnsi="Times New Roman" w:cs="Times New Roman"/>
          <w:sz w:val="24"/>
          <w:szCs w:val="24"/>
        </w:rPr>
      </w:pPr>
    </w:p>
    <w:p w:rsidR="00655BEA" w:rsidRPr="00655BEA" w:rsidRDefault="00655BEA" w:rsidP="00655BEA">
      <w:pPr>
        <w:spacing w:line="480" w:lineRule="auto"/>
        <w:rPr>
          <w:rFonts w:ascii="Times New Roman" w:hAnsi="Times New Roman" w:cs="Times New Roman"/>
          <w:sz w:val="24"/>
          <w:szCs w:val="24"/>
        </w:rPr>
      </w:pPr>
    </w:p>
    <w:p w:rsidR="00655BEA" w:rsidRPr="00655BEA" w:rsidRDefault="00655BEA" w:rsidP="00655BEA">
      <w:pPr>
        <w:spacing w:line="480" w:lineRule="auto"/>
        <w:rPr>
          <w:rFonts w:ascii="Times New Roman" w:hAnsi="Times New Roman" w:cs="Times New Roman"/>
          <w:sz w:val="24"/>
          <w:szCs w:val="24"/>
        </w:rPr>
      </w:pPr>
    </w:p>
    <w:p w:rsidR="00655BEA" w:rsidRPr="00655BEA" w:rsidRDefault="00655BEA" w:rsidP="00655BEA">
      <w:pPr>
        <w:spacing w:line="480" w:lineRule="auto"/>
        <w:rPr>
          <w:rFonts w:ascii="Times New Roman" w:hAnsi="Times New Roman" w:cs="Times New Roman"/>
          <w:sz w:val="24"/>
          <w:szCs w:val="24"/>
        </w:rPr>
      </w:pPr>
    </w:p>
    <w:p w:rsidR="00655BEA" w:rsidRPr="00655BEA" w:rsidRDefault="00655BEA" w:rsidP="00655BEA">
      <w:pPr>
        <w:spacing w:line="480" w:lineRule="auto"/>
        <w:rPr>
          <w:rFonts w:ascii="Times New Roman" w:hAnsi="Times New Roman" w:cs="Times New Roman"/>
          <w:sz w:val="24"/>
          <w:szCs w:val="24"/>
        </w:rPr>
      </w:pPr>
    </w:p>
    <w:p w:rsidR="00655BEA" w:rsidRPr="00655BEA" w:rsidRDefault="00655BEA" w:rsidP="00655BEA">
      <w:pPr>
        <w:spacing w:line="480" w:lineRule="auto"/>
        <w:rPr>
          <w:rFonts w:ascii="Times New Roman" w:hAnsi="Times New Roman" w:cs="Times New Roman"/>
          <w:sz w:val="24"/>
          <w:szCs w:val="24"/>
        </w:rPr>
      </w:pPr>
    </w:p>
    <w:p w:rsidR="00655BEA" w:rsidRPr="00655BEA" w:rsidRDefault="00655BEA" w:rsidP="00655BEA">
      <w:pPr>
        <w:spacing w:line="480" w:lineRule="auto"/>
        <w:jc w:val="center"/>
        <w:rPr>
          <w:rFonts w:ascii="Times New Roman" w:hAnsi="Times New Roman" w:cs="Times New Roman"/>
          <w:sz w:val="24"/>
          <w:szCs w:val="24"/>
        </w:rPr>
      </w:pPr>
      <w:r w:rsidRPr="00655BEA">
        <w:rPr>
          <w:rFonts w:ascii="Times New Roman" w:hAnsi="Times New Roman" w:cs="Times New Roman"/>
          <w:sz w:val="24"/>
          <w:szCs w:val="24"/>
        </w:rPr>
        <w:t>Legal and Ethical Case Considerations</w:t>
      </w:r>
    </w:p>
    <w:p w:rsidR="00655BEA" w:rsidRPr="00655BEA" w:rsidRDefault="00655BEA" w:rsidP="00655BEA">
      <w:pPr>
        <w:spacing w:line="480" w:lineRule="auto"/>
        <w:jc w:val="center"/>
        <w:rPr>
          <w:rFonts w:ascii="Times New Roman" w:hAnsi="Times New Roman" w:cs="Times New Roman"/>
          <w:sz w:val="24"/>
          <w:szCs w:val="24"/>
        </w:rPr>
      </w:pPr>
      <w:r w:rsidRPr="00655BEA">
        <w:rPr>
          <w:rFonts w:ascii="Times New Roman" w:hAnsi="Times New Roman" w:cs="Times New Roman"/>
          <w:sz w:val="24"/>
          <w:szCs w:val="24"/>
        </w:rPr>
        <w:t>Name of Student</w:t>
      </w:r>
    </w:p>
    <w:p w:rsidR="00655BEA" w:rsidRPr="00655BEA" w:rsidRDefault="00655BEA" w:rsidP="00655BEA">
      <w:pPr>
        <w:spacing w:line="480" w:lineRule="auto"/>
        <w:jc w:val="center"/>
        <w:rPr>
          <w:rFonts w:ascii="Times New Roman" w:hAnsi="Times New Roman" w:cs="Times New Roman"/>
          <w:sz w:val="24"/>
          <w:szCs w:val="24"/>
        </w:rPr>
      </w:pPr>
      <w:r w:rsidRPr="00655BEA">
        <w:rPr>
          <w:rFonts w:ascii="Times New Roman" w:hAnsi="Times New Roman" w:cs="Times New Roman"/>
          <w:sz w:val="24"/>
          <w:szCs w:val="24"/>
        </w:rPr>
        <w:t>Name of Institution</w:t>
      </w:r>
    </w:p>
    <w:p w:rsidR="00655BEA" w:rsidRPr="00655BEA" w:rsidRDefault="00655BEA" w:rsidP="00655BEA">
      <w:pPr>
        <w:spacing w:line="480" w:lineRule="auto"/>
        <w:jc w:val="center"/>
        <w:rPr>
          <w:rFonts w:ascii="Times New Roman" w:hAnsi="Times New Roman" w:cs="Times New Roman"/>
          <w:sz w:val="24"/>
          <w:szCs w:val="24"/>
        </w:rPr>
      </w:pPr>
      <w:r w:rsidRPr="00655BEA">
        <w:rPr>
          <w:rFonts w:ascii="Times New Roman" w:hAnsi="Times New Roman" w:cs="Times New Roman"/>
          <w:sz w:val="24"/>
          <w:szCs w:val="24"/>
        </w:rPr>
        <w:t>Date</w:t>
      </w:r>
      <w:r w:rsidRPr="00655BEA">
        <w:rPr>
          <w:rFonts w:ascii="Times New Roman" w:hAnsi="Times New Roman" w:cs="Times New Roman"/>
          <w:sz w:val="24"/>
          <w:szCs w:val="24"/>
        </w:rPr>
        <w:br w:type="page"/>
      </w:r>
    </w:p>
    <w:p w:rsidR="00553FEA" w:rsidRPr="00655BEA" w:rsidRDefault="00F047CC" w:rsidP="00655BEA">
      <w:pPr>
        <w:spacing w:line="480" w:lineRule="auto"/>
        <w:rPr>
          <w:rFonts w:ascii="Times New Roman" w:hAnsi="Times New Roman" w:cs="Times New Roman"/>
          <w:b/>
          <w:sz w:val="24"/>
          <w:szCs w:val="24"/>
        </w:rPr>
      </w:pPr>
      <w:r w:rsidRPr="00655BEA">
        <w:rPr>
          <w:rFonts w:ascii="Times New Roman" w:hAnsi="Times New Roman" w:cs="Times New Roman"/>
          <w:b/>
          <w:sz w:val="24"/>
          <w:szCs w:val="24"/>
        </w:rPr>
        <w:lastRenderedPageBreak/>
        <w:t>Scenario 1: Courts and ADR</w:t>
      </w:r>
    </w:p>
    <w:p w:rsidR="00275485" w:rsidRPr="00655BEA" w:rsidRDefault="00275485" w:rsidP="00655BEA">
      <w:pPr>
        <w:spacing w:line="480" w:lineRule="auto"/>
        <w:rPr>
          <w:rFonts w:ascii="Times New Roman" w:hAnsi="Times New Roman" w:cs="Times New Roman"/>
          <w:b/>
          <w:sz w:val="24"/>
          <w:szCs w:val="24"/>
        </w:rPr>
      </w:pPr>
      <w:r w:rsidRPr="00655BEA">
        <w:rPr>
          <w:rFonts w:ascii="Times New Roman" w:hAnsi="Times New Roman" w:cs="Times New Roman"/>
          <w:b/>
          <w:sz w:val="24"/>
          <w:szCs w:val="24"/>
        </w:rPr>
        <w:t xml:space="preserve">Since Watson believes </w:t>
      </w:r>
      <w:r w:rsidR="004E601E" w:rsidRPr="00655BEA">
        <w:rPr>
          <w:rFonts w:ascii="Times New Roman" w:hAnsi="Times New Roman" w:cs="Times New Roman"/>
          <w:b/>
          <w:sz w:val="24"/>
          <w:szCs w:val="24"/>
        </w:rPr>
        <w:t>he was wrongfully terminated and various rights were violated, he plans to consult with a lawyer and sue his employer. What are Watson’s options concerning resolution of his claims through the court or ADR?</w:t>
      </w:r>
    </w:p>
    <w:p w:rsidR="008156B0" w:rsidRPr="00655BEA" w:rsidRDefault="00540737" w:rsidP="00655BEA">
      <w:pPr>
        <w:spacing w:line="480" w:lineRule="auto"/>
        <w:ind w:firstLine="720"/>
        <w:rPr>
          <w:rFonts w:ascii="Times New Roman" w:hAnsi="Times New Roman" w:cs="Times New Roman"/>
          <w:sz w:val="24"/>
          <w:szCs w:val="24"/>
        </w:rPr>
      </w:pPr>
      <w:r w:rsidRPr="00655BEA">
        <w:rPr>
          <w:rFonts w:ascii="Times New Roman" w:hAnsi="Times New Roman" w:cs="Times New Roman"/>
          <w:sz w:val="24"/>
          <w:szCs w:val="24"/>
        </w:rPr>
        <w:t>Ben Watson may opt for mediation immediately, or after the filing the case in court. The state of Florida is an at-will state, and thus employers are within their capabilities to hire, fire, demote, promote, and discipline their employees at will</w:t>
      </w:r>
      <w:r w:rsidR="00C37201" w:rsidRPr="00655BEA">
        <w:rPr>
          <w:rFonts w:ascii="Times New Roman" w:hAnsi="Times New Roman" w:cs="Times New Roman"/>
          <w:sz w:val="24"/>
          <w:szCs w:val="24"/>
        </w:rPr>
        <w:t xml:space="preserve"> </w:t>
      </w:r>
      <w:sdt>
        <w:sdtPr>
          <w:rPr>
            <w:rFonts w:ascii="Times New Roman" w:hAnsi="Times New Roman" w:cs="Times New Roman"/>
            <w:sz w:val="24"/>
            <w:szCs w:val="24"/>
          </w:rPr>
          <w:id w:val="37589064"/>
          <w:citation/>
        </w:sdtPr>
        <w:sdtContent>
          <w:r w:rsidR="00C37201" w:rsidRPr="00655BEA">
            <w:rPr>
              <w:rFonts w:ascii="Times New Roman" w:hAnsi="Times New Roman" w:cs="Times New Roman"/>
              <w:sz w:val="24"/>
              <w:szCs w:val="24"/>
            </w:rPr>
            <w:fldChar w:fldCharType="begin"/>
          </w:r>
          <w:r w:rsidR="00C37201" w:rsidRPr="00655BEA">
            <w:rPr>
              <w:rFonts w:ascii="Times New Roman" w:hAnsi="Times New Roman" w:cs="Times New Roman"/>
              <w:sz w:val="24"/>
              <w:szCs w:val="24"/>
            </w:rPr>
            <w:instrText xml:space="preserve"> CITATION Fen171 \l 1033 </w:instrText>
          </w:r>
          <w:r w:rsidR="00C37201" w:rsidRPr="00655BEA">
            <w:rPr>
              <w:rFonts w:ascii="Times New Roman" w:hAnsi="Times New Roman" w:cs="Times New Roman"/>
              <w:sz w:val="24"/>
              <w:szCs w:val="24"/>
            </w:rPr>
            <w:fldChar w:fldCharType="separate"/>
          </w:r>
          <w:r w:rsidR="00C37201" w:rsidRPr="00655BEA">
            <w:rPr>
              <w:rFonts w:ascii="Times New Roman" w:hAnsi="Times New Roman" w:cs="Times New Roman"/>
              <w:noProof/>
              <w:sz w:val="24"/>
              <w:szCs w:val="24"/>
            </w:rPr>
            <w:t>(Fenton, 2017)</w:t>
          </w:r>
          <w:r w:rsidR="00C37201" w:rsidRPr="00655BEA">
            <w:rPr>
              <w:rFonts w:ascii="Times New Roman" w:hAnsi="Times New Roman" w:cs="Times New Roman"/>
              <w:sz w:val="24"/>
              <w:szCs w:val="24"/>
            </w:rPr>
            <w:fldChar w:fldCharType="end"/>
          </w:r>
        </w:sdtContent>
      </w:sdt>
      <w:r w:rsidRPr="00655BEA">
        <w:rPr>
          <w:rFonts w:ascii="Times New Roman" w:hAnsi="Times New Roman" w:cs="Times New Roman"/>
          <w:sz w:val="24"/>
          <w:szCs w:val="24"/>
        </w:rPr>
        <w:t xml:space="preserve">. The employers do not need to demonstrate or show evidence of reasoning for the actions above. If Watson opts to file the case in court, the statute of limitation for discrimination in Florida is 300 days. Watson, therefore, has 300 days maximum period to file the case since the State’s law prohibit employment discrimination. Ben has to file the complaint to the Florida Commission of Human Relations within a year from the termination date, and the Equal Employment Opportunity Commission within 300 days. Wrongful </w:t>
      </w:r>
      <w:r w:rsidR="00C37201" w:rsidRPr="00655BEA">
        <w:rPr>
          <w:rFonts w:ascii="Times New Roman" w:hAnsi="Times New Roman" w:cs="Times New Roman"/>
          <w:sz w:val="24"/>
          <w:szCs w:val="24"/>
        </w:rPr>
        <w:t xml:space="preserve">termination is in three types, but in this case, Watson may either opt for discrimination or contractual claims </w:t>
      </w:r>
      <w:sdt>
        <w:sdtPr>
          <w:rPr>
            <w:rFonts w:ascii="Times New Roman" w:hAnsi="Times New Roman" w:cs="Times New Roman"/>
            <w:sz w:val="24"/>
            <w:szCs w:val="24"/>
          </w:rPr>
          <w:id w:val="37589063"/>
          <w:citation/>
        </w:sdtPr>
        <w:sdtContent>
          <w:r w:rsidR="00C37201" w:rsidRPr="00655BEA">
            <w:rPr>
              <w:rFonts w:ascii="Times New Roman" w:hAnsi="Times New Roman" w:cs="Times New Roman"/>
              <w:sz w:val="24"/>
              <w:szCs w:val="24"/>
            </w:rPr>
            <w:fldChar w:fldCharType="begin"/>
          </w:r>
          <w:r w:rsidR="00C37201" w:rsidRPr="00655BEA">
            <w:rPr>
              <w:rFonts w:ascii="Times New Roman" w:hAnsi="Times New Roman" w:cs="Times New Roman"/>
              <w:sz w:val="24"/>
              <w:szCs w:val="24"/>
            </w:rPr>
            <w:instrText xml:space="preserve"> CITATION Wrots \l 1033 </w:instrText>
          </w:r>
          <w:r w:rsidR="00C37201" w:rsidRPr="00655BEA">
            <w:rPr>
              <w:rFonts w:ascii="Times New Roman" w:hAnsi="Times New Roman" w:cs="Times New Roman"/>
              <w:sz w:val="24"/>
              <w:szCs w:val="24"/>
            </w:rPr>
            <w:fldChar w:fldCharType="separate"/>
          </w:r>
          <w:r w:rsidR="00C37201" w:rsidRPr="00655BEA">
            <w:rPr>
              <w:rFonts w:ascii="Times New Roman" w:hAnsi="Times New Roman" w:cs="Times New Roman"/>
              <w:noProof/>
              <w:sz w:val="24"/>
              <w:szCs w:val="24"/>
            </w:rPr>
            <w:t>(Wrongful Termination Settlements, Wrongful Termination Settlements)</w:t>
          </w:r>
          <w:r w:rsidR="00C37201" w:rsidRPr="00655BEA">
            <w:rPr>
              <w:rFonts w:ascii="Times New Roman" w:hAnsi="Times New Roman" w:cs="Times New Roman"/>
              <w:sz w:val="24"/>
              <w:szCs w:val="24"/>
            </w:rPr>
            <w:fldChar w:fldCharType="end"/>
          </w:r>
        </w:sdtContent>
      </w:sdt>
      <w:r w:rsidR="00C37201" w:rsidRPr="00655BEA">
        <w:rPr>
          <w:rFonts w:ascii="Times New Roman" w:hAnsi="Times New Roman" w:cs="Times New Roman"/>
          <w:sz w:val="24"/>
          <w:szCs w:val="24"/>
        </w:rPr>
        <w:t xml:space="preserve">. </w:t>
      </w:r>
      <w:r w:rsidR="00FA46B2" w:rsidRPr="00655BEA">
        <w:rPr>
          <w:rFonts w:ascii="Times New Roman" w:hAnsi="Times New Roman" w:cs="Times New Roman"/>
          <w:sz w:val="24"/>
          <w:szCs w:val="24"/>
        </w:rPr>
        <w:t xml:space="preserve">The argument for discrimination will account for mode of discharge. The contractual claim will account for the stiff disciplinary penalty by the company with no presentation of mild disciplinary efforts. </w:t>
      </w:r>
      <w:r w:rsidR="008156B0" w:rsidRPr="00655BEA">
        <w:rPr>
          <w:rFonts w:ascii="Times New Roman" w:hAnsi="Times New Roman" w:cs="Times New Roman"/>
          <w:sz w:val="24"/>
          <w:szCs w:val="24"/>
        </w:rPr>
        <w:t xml:space="preserve">Depending with the level Watson files the case, he has options of accepting mediators from those institutions, or hiring one. </w:t>
      </w:r>
    </w:p>
    <w:p w:rsidR="008156B0" w:rsidRPr="00655BEA" w:rsidRDefault="007062C2" w:rsidP="00655BEA">
      <w:pPr>
        <w:spacing w:line="480" w:lineRule="auto"/>
        <w:ind w:firstLine="720"/>
        <w:rPr>
          <w:rFonts w:ascii="Times New Roman" w:hAnsi="Times New Roman" w:cs="Times New Roman"/>
          <w:sz w:val="24"/>
          <w:szCs w:val="24"/>
        </w:rPr>
      </w:pPr>
      <w:r w:rsidRPr="00655BEA">
        <w:rPr>
          <w:rFonts w:ascii="Times New Roman" w:hAnsi="Times New Roman" w:cs="Times New Roman"/>
          <w:sz w:val="24"/>
          <w:szCs w:val="24"/>
        </w:rPr>
        <w:t xml:space="preserve">Jabil Circuits, on the other hand, may counter with </w:t>
      </w:r>
      <w:r w:rsidR="00FA46B2" w:rsidRPr="00655BEA">
        <w:rPr>
          <w:rFonts w:ascii="Times New Roman" w:hAnsi="Times New Roman" w:cs="Times New Roman"/>
          <w:sz w:val="24"/>
          <w:szCs w:val="24"/>
        </w:rPr>
        <w:t>three arguments. I</w:t>
      </w:r>
      <w:r w:rsidRPr="00655BEA">
        <w:rPr>
          <w:rFonts w:ascii="Times New Roman" w:hAnsi="Times New Roman" w:cs="Times New Roman"/>
          <w:sz w:val="24"/>
          <w:szCs w:val="24"/>
        </w:rPr>
        <w:t xml:space="preserve">nappropriate conduct in the workplace </w:t>
      </w:r>
      <w:r w:rsidR="00FA46B2" w:rsidRPr="00655BEA">
        <w:rPr>
          <w:rFonts w:ascii="Times New Roman" w:hAnsi="Times New Roman" w:cs="Times New Roman"/>
          <w:sz w:val="24"/>
          <w:szCs w:val="24"/>
        </w:rPr>
        <w:t xml:space="preserve">is descriptive of how Watson used the internet for computer games and gambling reasons. Another argument against the litigant is misuse of corporate resources. Watson sent emails that had no benefit to the company, and the context of the messages sent did </w:t>
      </w:r>
      <w:r w:rsidR="00FA46B2" w:rsidRPr="00655BEA">
        <w:rPr>
          <w:rFonts w:ascii="Times New Roman" w:hAnsi="Times New Roman" w:cs="Times New Roman"/>
          <w:sz w:val="24"/>
          <w:szCs w:val="24"/>
        </w:rPr>
        <w:lastRenderedPageBreak/>
        <w:t xml:space="preserve">not adhere with the corporate policy regarding sexual discrimination. Watson is also liable for breach of contract. His conduct and arguments presented against him are clearly stipulated as intolerable habits by the corporation. The contract also stipulates that the breach provides amenable grounds for termination. To counter the last argument, Watson may try to infer to the contract and provide critical analysis if it </w:t>
      </w:r>
      <w:r w:rsidR="00224CB3" w:rsidRPr="00655BEA">
        <w:rPr>
          <w:rFonts w:ascii="Times New Roman" w:hAnsi="Times New Roman" w:cs="Times New Roman"/>
          <w:sz w:val="24"/>
          <w:szCs w:val="24"/>
        </w:rPr>
        <w:t xml:space="preserve">is in breach with reference to </w:t>
      </w:r>
      <w:r w:rsidR="00FA46B2" w:rsidRPr="00655BEA">
        <w:rPr>
          <w:rFonts w:ascii="Times New Roman" w:hAnsi="Times New Roman" w:cs="Times New Roman"/>
          <w:sz w:val="24"/>
          <w:szCs w:val="24"/>
        </w:rPr>
        <w:t xml:space="preserve">the </w:t>
      </w:r>
      <w:r w:rsidR="00224CB3" w:rsidRPr="00655BEA">
        <w:rPr>
          <w:rFonts w:ascii="Times New Roman" w:hAnsi="Times New Roman" w:cs="Times New Roman"/>
          <w:sz w:val="24"/>
          <w:szCs w:val="24"/>
        </w:rPr>
        <w:t xml:space="preserve">laws of Florida. </w:t>
      </w:r>
    </w:p>
    <w:p w:rsidR="00224CB3" w:rsidRPr="00655BEA" w:rsidRDefault="00224CB3" w:rsidP="00655BEA">
      <w:pPr>
        <w:spacing w:line="480" w:lineRule="auto"/>
        <w:ind w:firstLine="720"/>
        <w:rPr>
          <w:rFonts w:ascii="Times New Roman" w:hAnsi="Times New Roman" w:cs="Times New Roman"/>
          <w:sz w:val="24"/>
          <w:szCs w:val="24"/>
        </w:rPr>
      </w:pPr>
      <w:r w:rsidRPr="00655BEA">
        <w:rPr>
          <w:rFonts w:ascii="Times New Roman" w:hAnsi="Times New Roman" w:cs="Times New Roman"/>
          <w:sz w:val="24"/>
          <w:szCs w:val="24"/>
        </w:rPr>
        <w:t>The most likely outcome of Watson follows mediation is compensation, the lack of formality and rules may provide grounds for Watson to receive monetary compensation, with both parties compromising. In a civil litigation, Watson has a higher probability to lose the case. The court will order him to pay Jabil Circuit, but it will not collect money from Watson. Ben Watson will also have the option of filing a motion for rehearing or a new trial</w:t>
      </w:r>
      <w:r w:rsidR="00743523" w:rsidRPr="00655BEA">
        <w:rPr>
          <w:rFonts w:ascii="Times New Roman" w:hAnsi="Times New Roman" w:cs="Times New Roman"/>
          <w:sz w:val="24"/>
          <w:szCs w:val="24"/>
        </w:rPr>
        <w:t xml:space="preserve"> </w:t>
      </w:r>
      <w:sdt>
        <w:sdtPr>
          <w:rPr>
            <w:rFonts w:ascii="Times New Roman" w:hAnsi="Times New Roman" w:cs="Times New Roman"/>
            <w:sz w:val="24"/>
            <w:szCs w:val="24"/>
          </w:rPr>
          <w:id w:val="37589066"/>
          <w:citation/>
        </w:sdtPr>
        <w:sdtContent>
          <w:r w:rsidR="00743523" w:rsidRPr="00655BEA">
            <w:rPr>
              <w:rFonts w:ascii="Times New Roman" w:hAnsi="Times New Roman" w:cs="Times New Roman"/>
              <w:sz w:val="24"/>
              <w:szCs w:val="24"/>
            </w:rPr>
            <w:fldChar w:fldCharType="begin"/>
          </w:r>
          <w:r w:rsidR="00743523" w:rsidRPr="00655BEA">
            <w:rPr>
              <w:rFonts w:ascii="Times New Roman" w:hAnsi="Times New Roman" w:cs="Times New Roman"/>
              <w:sz w:val="24"/>
              <w:szCs w:val="24"/>
            </w:rPr>
            <w:instrText xml:space="preserve"> CITATION Pen18 \l 1033 </w:instrText>
          </w:r>
          <w:r w:rsidR="00743523" w:rsidRPr="00655BEA">
            <w:rPr>
              <w:rFonts w:ascii="Times New Roman" w:hAnsi="Times New Roman" w:cs="Times New Roman"/>
              <w:sz w:val="24"/>
              <w:szCs w:val="24"/>
            </w:rPr>
            <w:fldChar w:fldCharType="separate"/>
          </w:r>
          <w:r w:rsidR="00743523" w:rsidRPr="00655BEA">
            <w:rPr>
              <w:rFonts w:ascii="Times New Roman" w:hAnsi="Times New Roman" w:cs="Times New Roman"/>
              <w:noProof/>
              <w:sz w:val="24"/>
              <w:szCs w:val="24"/>
            </w:rPr>
            <w:t>(Pendas Law Firm, 2018)</w:t>
          </w:r>
          <w:r w:rsidR="00743523" w:rsidRPr="00655BEA">
            <w:rPr>
              <w:rFonts w:ascii="Times New Roman" w:hAnsi="Times New Roman" w:cs="Times New Roman"/>
              <w:sz w:val="24"/>
              <w:szCs w:val="24"/>
            </w:rPr>
            <w:fldChar w:fldCharType="end"/>
          </w:r>
        </w:sdtContent>
      </w:sdt>
      <w:r w:rsidRPr="00655BEA">
        <w:rPr>
          <w:rFonts w:ascii="Times New Roman" w:hAnsi="Times New Roman" w:cs="Times New Roman"/>
          <w:sz w:val="24"/>
          <w:szCs w:val="24"/>
        </w:rPr>
        <w:t xml:space="preserve">. </w:t>
      </w:r>
    </w:p>
    <w:p w:rsidR="00F047CC" w:rsidRPr="00655BEA" w:rsidRDefault="00F047CC" w:rsidP="00655BEA">
      <w:pPr>
        <w:spacing w:line="480" w:lineRule="auto"/>
        <w:rPr>
          <w:rFonts w:ascii="Times New Roman" w:hAnsi="Times New Roman" w:cs="Times New Roman"/>
          <w:b/>
          <w:sz w:val="24"/>
          <w:szCs w:val="24"/>
        </w:rPr>
      </w:pPr>
      <w:r w:rsidRPr="00655BEA">
        <w:rPr>
          <w:rFonts w:ascii="Times New Roman" w:hAnsi="Times New Roman" w:cs="Times New Roman"/>
          <w:b/>
          <w:sz w:val="24"/>
          <w:szCs w:val="24"/>
        </w:rPr>
        <w:t>Scenario 2: Constitutional Rights</w:t>
      </w:r>
    </w:p>
    <w:p w:rsidR="00275485" w:rsidRPr="00655BEA" w:rsidRDefault="00275485" w:rsidP="00655BEA">
      <w:pPr>
        <w:spacing w:line="480" w:lineRule="auto"/>
        <w:rPr>
          <w:rFonts w:ascii="Times New Roman" w:hAnsi="Times New Roman" w:cs="Times New Roman"/>
          <w:b/>
          <w:sz w:val="24"/>
          <w:szCs w:val="24"/>
        </w:rPr>
      </w:pPr>
      <w:r w:rsidRPr="00655BEA">
        <w:rPr>
          <w:rFonts w:ascii="Times New Roman" w:hAnsi="Times New Roman" w:cs="Times New Roman"/>
          <w:b/>
          <w:sz w:val="24"/>
          <w:szCs w:val="24"/>
        </w:rPr>
        <w:t xml:space="preserve">Did </w:t>
      </w:r>
      <w:r w:rsidR="00C04599" w:rsidRPr="00655BEA">
        <w:rPr>
          <w:rFonts w:ascii="Times New Roman" w:hAnsi="Times New Roman" w:cs="Times New Roman"/>
          <w:b/>
          <w:sz w:val="24"/>
          <w:szCs w:val="24"/>
        </w:rPr>
        <w:t>O</w:t>
      </w:r>
      <w:r w:rsidRPr="00655BEA">
        <w:rPr>
          <w:rFonts w:ascii="Times New Roman" w:hAnsi="Times New Roman" w:cs="Times New Roman"/>
          <w:b/>
          <w:sz w:val="24"/>
          <w:szCs w:val="24"/>
        </w:rPr>
        <w:t>fficer Crespo Violate any of Watson’s constitutional rights?</w:t>
      </w:r>
    </w:p>
    <w:p w:rsidR="00F047CC" w:rsidRPr="00655BEA" w:rsidRDefault="00501F08" w:rsidP="00655BEA">
      <w:pPr>
        <w:spacing w:line="480" w:lineRule="auto"/>
        <w:ind w:firstLine="720"/>
        <w:rPr>
          <w:rFonts w:ascii="Times New Roman" w:hAnsi="Times New Roman" w:cs="Times New Roman"/>
          <w:sz w:val="24"/>
          <w:szCs w:val="24"/>
        </w:rPr>
      </w:pPr>
      <w:r w:rsidRPr="00655BEA">
        <w:rPr>
          <w:rFonts w:ascii="Times New Roman" w:hAnsi="Times New Roman" w:cs="Times New Roman"/>
          <w:sz w:val="24"/>
          <w:szCs w:val="24"/>
        </w:rPr>
        <w:t>The ‘stop and frisk law’ in the state of Florida allows a police officer to stop or temporarily detain any civilian in public. The law requires that the police officer have a reasonable cause for the detainment if he believes the civilian to have committed a crime, is about to commit a crime, or is in the process of committing a crime. Therefore, Dale Crespo did not violate any of Watson’s civil right when pulling him over. The law also mandates that the officer may only detain or stop the civilian for one of two reasons, or both. First reason is the identification of the detainee. Detainment should occur in a manner that allows the officer to identify the civilian</w:t>
      </w:r>
      <w:r w:rsidR="00275485" w:rsidRPr="00655BEA">
        <w:rPr>
          <w:rFonts w:ascii="Times New Roman" w:hAnsi="Times New Roman" w:cs="Times New Roman"/>
          <w:sz w:val="24"/>
          <w:szCs w:val="24"/>
        </w:rPr>
        <w:t xml:space="preserve"> </w:t>
      </w:r>
      <w:sdt>
        <w:sdtPr>
          <w:rPr>
            <w:rFonts w:ascii="Times New Roman" w:hAnsi="Times New Roman" w:cs="Times New Roman"/>
            <w:sz w:val="24"/>
            <w:szCs w:val="24"/>
          </w:rPr>
          <w:id w:val="37589069"/>
          <w:citation/>
        </w:sdtPr>
        <w:sdtContent>
          <w:r w:rsidR="00275485" w:rsidRPr="00655BEA">
            <w:rPr>
              <w:rFonts w:ascii="Times New Roman" w:hAnsi="Times New Roman" w:cs="Times New Roman"/>
              <w:sz w:val="24"/>
              <w:szCs w:val="24"/>
            </w:rPr>
            <w:fldChar w:fldCharType="begin"/>
          </w:r>
          <w:r w:rsidR="00275485" w:rsidRPr="00655BEA">
            <w:rPr>
              <w:rFonts w:ascii="Times New Roman" w:hAnsi="Times New Roman" w:cs="Times New Roman"/>
              <w:sz w:val="24"/>
              <w:szCs w:val="24"/>
            </w:rPr>
            <w:instrText xml:space="preserve"> CITATION The193 \l 1033 </w:instrText>
          </w:r>
          <w:r w:rsidR="00275485" w:rsidRPr="00655BEA">
            <w:rPr>
              <w:rFonts w:ascii="Times New Roman" w:hAnsi="Times New Roman" w:cs="Times New Roman"/>
              <w:sz w:val="24"/>
              <w:szCs w:val="24"/>
            </w:rPr>
            <w:fldChar w:fldCharType="separate"/>
          </w:r>
          <w:r w:rsidR="00275485" w:rsidRPr="00655BEA">
            <w:rPr>
              <w:rFonts w:ascii="Times New Roman" w:hAnsi="Times New Roman" w:cs="Times New Roman"/>
              <w:noProof/>
              <w:sz w:val="24"/>
              <w:szCs w:val="24"/>
            </w:rPr>
            <w:t>(The Florida Legislature)</w:t>
          </w:r>
          <w:r w:rsidR="00275485" w:rsidRPr="00655BEA">
            <w:rPr>
              <w:rFonts w:ascii="Times New Roman" w:hAnsi="Times New Roman" w:cs="Times New Roman"/>
              <w:sz w:val="24"/>
              <w:szCs w:val="24"/>
            </w:rPr>
            <w:fldChar w:fldCharType="end"/>
          </w:r>
        </w:sdtContent>
      </w:sdt>
      <w:r w:rsidRPr="00655BEA">
        <w:rPr>
          <w:rFonts w:ascii="Times New Roman" w:hAnsi="Times New Roman" w:cs="Times New Roman"/>
          <w:sz w:val="24"/>
          <w:szCs w:val="24"/>
        </w:rPr>
        <w:t xml:space="preserve">. The second reason is provide grounds for further investigation for the reason for which the detainee was pulled over. Therefore, the initial reasons </w:t>
      </w:r>
      <w:r w:rsidRPr="00655BEA">
        <w:rPr>
          <w:rFonts w:ascii="Times New Roman" w:hAnsi="Times New Roman" w:cs="Times New Roman"/>
          <w:sz w:val="24"/>
          <w:szCs w:val="24"/>
        </w:rPr>
        <w:lastRenderedPageBreak/>
        <w:t xml:space="preserve">the officer had to pull you over are the only grounds that the police should investigate. The case scenario does not provide the reasonable context why Officer Dale pulled Watson over, but further investigation of the scenario does not violate the latter’s constitutional right. Watson noticed a slight slurring and Watson words and poor motor skills, therefore, his continued investigation was a breathalyzer. Therefore, </w:t>
      </w:r>
      <w:r w:rsidR="00D84061" w:rsidRPr="00655BEA">
        <w:rPr>
          <w:rFonts w:ascii="Times New Roman" w:hAnsi="Times New Roman" w:cs="Times New Roman"/>
          <w:sz w:val="24"/>
          <w:szCs w:val="24"/>
        </w:rPr>
        <w:t xml:space="preserve">Crespo maintained the initial reason for investigation. </w:t>
      </w:r>
    </w:p>
    <w:p w:rsidR="00D84061" w:rsidRPr="00655BEA" w:rsidRDefault="00D84061" w:rsidP="00655BEA">
      <w:pPr>
        <w:spacing w:line="480" w:lineRule="auto"/>
        <w:ind w:firstLine="720"/>
        <w:rPr>
          <w:rFonts w:ascii="Times New Roman" w:hAnsi="Times New Roman" w:cs="Times New Roman"/>
          <w:sz w:val="24"/>
          <w:szCs w:val="24"/>
        </w:rPr>
      </w:pPr>
      <w:r w:rsidRPr="00655BEA">
        <w:rPr>
          <w:rFonts w:ascii="Times New Roman" w:hAnsi="Times New Roman" w:cs="Times New Roman"/>
          <w:sz w:val="24"/>
          <w:szCs w:val="24"/>
        </w:rPr>
        <w:t xml:space="preserve">Dale Crespo also asked Watson to alight his car. The constitution allows this through judgments rendered by the Supreme Court. In the case of Pennsylvania v. Mimms </w:t>
      </w:r>
      <w:sdt>
        <w:sdtPr>
          <w:rPr>
            <w:rFonts w:ascii="Times New Roman" w:hAnsi="Times New Roman" w:cs="Times New Roman"/>
            <w:sz w:val="24"/>
            <w:szCs w:val="24"/>
          </w:rPr>
          <w:id w:val="37589067"/>
          <w:citation/>
        </w:sdtPr>
        <w:sdtContent>
          <w:r w:rsidRPr="00655BEA">
            <w:rPr>
              <w:rFonts w:ascii="Times New Roman" w:hAnsi="Times New Roman" w:cs="Times New Roman"/>
              <w:sz w:val="24"/>
              <w:szCs w:val="24"/>
            </w:rPr>
            <w:fldChar w:fldCharType="begin"/>
          </w:r>
          <w:r w:rsidRPr="00655BEA">
            <w:rPr>
              <w:rFonts w:ascii="Times New Roman" w:hAnsi="Times New Roman" w:cs="Times New Roman"/>
              <w:sz w:val="24"/>
              <w:szCs w:val="24"/>
            </w:rPr>
            <w:instrText xml:space="preserve"> CITATION Pen77 \l 1033 </w:instrText>
          </w:r>
          <w:r w:rsidRPr="00655BEA">
            <w:rPr>
              <w:rFonts w:ascii="Times New Roman" w:hAnsi="Times New Roman" w:cs="Times New Roman"/>
              <w:sz w:val="24"/>
              <w:szCs w:val="24"/>
            </w:rPr>
            <w:fldChar w:fldCharType="separate"/>
          </w:r>
          <w:r w:rsidRPr="00655BEA">
            <w:rPr>
              <w:rFonts w:ascii="Times New Roman" w:hAnsi="Times New Roman" w:cs="Times New Roman"/>
              <w:noProof/>
              <w:sz w:val="24"/>
              <w:szCs w:val="24"/>
            </w:rPr>
            <w:t>(Pennsylvania v. Mimms, 1977)</w:t>
          </w:r>
          <w:r w:rsidRPr="00655BEA">
            <w:rPr>
              <w:rFonts w:ascii="Times New Roman" w:hAnsi="Times New Roman" w:cs="Times New Roman"/>
              <w:sz w:val="24"/>
              <w:szCs w:val="24"/>
            </w:rPr>
            <w:fldChar w:fldCharType="end"/>
          </w:r>
        </w:sdtContent>
      </w:sdt>
      <w:r w:rsidRPr="00655BEA">
        <w:rPr>
          <w:rFonts w:ascii="Times New Roman" w:hAnsi="Times New Roman" w:cs="Times New Roman"/>
          <w:sz w:val="24"/>
          <w:szCs w:val="24"/>
        </w:rPr>
        <w:t xml:space="preserve">, the Supreme Court ruled in favor of police giving them the right to order civilians out of their vehicles in the course of an ordinary traffic stop. The Court’s rationale is that the need for officer safety outweighs the limited burden and intrusion. </w:t>
      </w:r>
      <w:r w:rsidR="00275485" w:rsidRPr="00655BEA">
        <w:rPr>
          <w:rFonts w:ascii="Times New Roman" w:hAnsi="Times New Roman" w:cs="Times New Roman"/>
          <w:sz w:val="24"/>
          <w:szCs w:val="24"/>
        </w:rPr>
        <w:t xml:space="preserve">There is no constitutional obligation to take a breathalyzer test, and so Watson’s decision does not violate any law. However, refusal does justify further inspection of your car and your person </w:t>
      </w:r>
      <w:sdt>
        <w:sdtPr>
          <w:rPr>
            <w:rFonts w:ascii="Times New Roman" w:hAnsi="Times New Roman" w:cs="Times New Roman"/>
            <w:sz w:val="24"/>
            <w:szCs w:val="24"/>
          </w:rPr>
          <w:id w:val="37589068"/>
          <w:citation/>
        </w:sdtPr>
        <w:sdtContent>
          <w:r w:rsidR="00275485" w:rsidRPr="00655BEA">
            <w:rPr>
              <w:rFonts w:ascii="Times New Roman" w:hAnsi="Times New Roman" w:cs="Times New Roman"/>
              <w:sz w:val="24"/>
              <w:szCs w:val="24"/>
            </w:rPr>
            <w:fldChar w:fldCharType="begin"/>
          </w:r>
          <w:r w:rsidR="00275485" w:rsidRPr="00655BEA">
            <w:rPr>
              <w:rFonts w:ascii="Times New Roman" w:hAnsi="Times New Roman" w:cs="Times New Roman"/>
              <w:sz w:val="24"/>
              <w:szCs w:val="24"/>
            </w:rPr>
            <w:instrText xml:space="preserve"> CITATION ACL19 \l 1033 </w:instrText>
          </w:r>
          <w:r w:rsidR="00275485" w:rsidRPr="00655BEA">
            <w:rPr>
              <w:rFonts w:ascii="Times New Roman" w:hAnsi="Times New Roman" w:cs="Times New Roman"/>
              <w:sz w:val="24"/>
              <w:szCs w:val="24"/>
            </w:rPr>
            <w:fldChar w:fldCharType="separate"/>
          </w:r>
          <w:r w:rsidR="00275485" w:rsidRPr="00655BEA">
            <w:rPr>
              <w:rFonts w:ascii="Times New Roman" w:hAnsi="Times New Roman" w:cs="Times New Roman"/>
              <w:noProof/>
              <w:sz w:val="24"/>
              <w:szCs w:val="24"/>
            </w:rPr>
            <w:t>(ACLU Florida)</w:t>
          </w:r>
          <w:r w:rsidR="00275485" w:rsidRPr="00655BEA">
            <w:rPr>
              <w:rFonts w:ascii="Times New Roman" w:hAnsi="Times New Roman" w:cs="Times New Roman"/>
              <w:sz w:val="24"/>
              <w:szCs w:val="24"/>
            </w:rPr>
            <w:fldChar w:fldCharType="end"/>
          </w:r>
        </w:sdtContent>
      </w:sdt>
      <w:r w:rsidR="00275485" w:rsidRPr="00655BEA">
        <w:rPr>
          <w:rFonts w:ascii="Times New Roman" w:hAnsi="Times New Roman" w:cs="Times New Roman"/>
          <w:sz w:val="24"/>
          <w:szCs w:val="24"/>
        </w:rPr>
        <w:t xml:space="preserve">. Florida law also allows for the investigation to last as long as is reasonably necessary. The lack of stipulation of time allows the officer to detain a civilian for as long as he deems it necessary for the investigation. The allowable grounds for further investigation led to the discovery of the loaded handgun, unmarked bag of pills, and a beer can. Therefore, Officer Crespo did make sure to observe and maintain all the constitutional rights. </w:t>
      </w:r>
    </w:p>
    <w:p w:rsidR="00F047CC" w:rsidRPr="00655BEA" w:rsidRDefault="00F047CC" w:rsidP="00655BEA">
      <w:pPr>
        <w:spacing w:line="480" w:lineRule="auto"/>
        <w:rPr>
          <w:rFonts w:ascii="Times New Roman" w:hAnsi="Times New Roman" w:cs="Times New Roman"/>
          <w:b/>
          <w:sz w:val="24"/>
          <w:szCs w:val="24"/>
        </w:rPr>
      </w:pPr>
      <w:r w:rsidRPr="00655BEA">
        <w:rPr>
          <w:rFonts w:ascii="Times New Roman" w:hAnsi="Times New Roman" w:cs="Times New Roman"/>
          <w:b/>
          <w:sz w:val="24"/>
          <w:szCs w:val="24"/>
        </w:rPr>
        <w:t>Scenario 3: Torts</w:t>
      </w:r>
    </w:p>
    <w:p w:rsidR="004E601E" w:rsidRPr="00655BEA" w:rsidRDefault="004E601E" w:rsidP="00655BEA">
      <w:pPr>
        <w:spacing w:line="480" w:lineRule="auto"/>
        <w:rPr>
          <w:rFonts w:ascii="Times New Roman" w:hAnsi="Times New Roman" w:cs="Times New Roman"/>
          <w:b/>
          <w:sz w:val="24"/>
          <w:szCs w:val="24"/>
        </w:rPr>
      </w:pPr>
      <w:r w:rsidRPr="00655BEA">
        <w:rPr>
          <w:rFonts w:ascii="Times New Roman" w:hAnsi="Times New Roman" w:cs="Times New Roman"/>
          <w:b/>
          <w:sz w:val="24"/>
          <w:szCs w:val="24"/>
        </w:rPr>
        <w:t>Did Fitch commit any torts?</w:t>
      </w:r>
    </w:p>
    <w:p w:rsidR="00553FEA" w:rsidRPr="00655BEA" w:rsidRDefault="00C04599" w:rsidP="00655BEA">
      <w:pPr>
        <w:spacing w:line="480" w:lineRule="auto"/>
        <w:ind w:firstLine="720"/>
        <w:rPr>
          <w:rFonts w:ascii="Times New Roman" w:hAnsi="Times New Roman" w:cs="Times New Roman"/>
          <w:sz w:val="24"/>
          <w:szCs w:val="24"/>
        </w:rPr>
      </w:pPr>
      <w:r w:rsidRPr="00655BEA">
        <w:rPr>
          <w:rFonts w:ascii="Times New Roman" w:hAnsi="Times New Roman" w:cs="Times New Roman"/>
          <w:sz w:val="24"/>
          <w:szCs w:val="24"/>
        </w:rPr>
        <w:t xml:space="preserve">According to the Florida State statutes, defamation describes the ‘Act of making or publishing a false statement to a third-party, resulting in ham to another’s reputation </w:t>
      </w:r>
      <w:sdt>
        <w:sdtPr>
          <w:rPr>
            <w:rFonts w:ascii="Times New Roman" w:hAnsi="Times New Roman" w:cs="Times New Roman"/>
            <w:sz w:val="24"/>
            <w:szCs w:val="24"/>
          </w:rPr>
          <w:id w:val="37589098"/>
          <w:citation/>
        </w:sdtPr>
        <w:sdtContent>
          <w:r w:rsidRPr="00655BEA">
            <w:rPr>
              <w:rFonts w:ascii="Times New Roman" w:hAnsi="Times New Roman" w:cs="Times New Roman"/>
              <w:sz w:val="24"/>
              <w:szCs w:val="24"/>
            </w:rPr>
            <w:fldChar w:fldCharType="begin"/>
          </w:r>
          <w:r w:rsidRPr="00655BEA">
            <w:rPr>
              <w:rFonts w:ascii="Times New Roman" w:hAnsi="Times New Roman" w:cs="Times New Roman"/>
              <w:sz w:val="24"/>
              <w:szCs w:val="24"/>
            </w:rPr>
            <w:instrText xml:space="preserve"> CITATION Min18 \l 1033 </w:instrText>
          </w:r>
          <w:r w:rsidRPr="00655BEA">
            <w:rPr>
              <w:rFonts w:ascii="Times New Roman" w:hAnsi="Times New Roman" w:cs="Times New Roman"/>
              <w:sz w:val="24"/>
              <w:szCs w:val="24"/>
            </w:rPr>
            <w:fldChar w:fldCharType="separate"/>
          </w:r>
          <w:r w:rsidRPr="00655BEA">
            <w:rPr>
              <w:rFonts w:ascii="Times New Roman" w:hAnsi="Times New Roman" w:cs="Times New Roman"/>
              <w:noProof/>
              <w:sz w:val="24"/>
              <w:szCs w:val="24"/>
            </w:rPr>
            <w:t xml:space="preserve">(Minc, </w:t>
          </w:r>
          <w:r w:rsidRPr="00655BEA">
            <w:rPr>
              <w:rFonts w:ascii="Times New Roman" w:hAnsi="Times New Roman" w:cs="Times New Roman"/>
              <w:noProof/>
              <w:sz w:val="24"/>
              <w:szCs w:val="24"/>
            </w:rPr>
            <w:lastRenderedPageBreak/>
            <w:t>2018)</w:t>
          </w:r>
          <w:r w:rsidRPr="00655BEA">
            <w:rPr>
              <w:rFonts w:ascii="Times New Roman" w:hAnsi="Times New Roman" w:cs="Times New Roman"/>
              <w:sz w:val="24"/>
              <w:szCs w:val="24"/>
            </w:rPr>
            <w:fldChar w:fldCharType="end"/>
          </w:r>
        </w:sdtContent>
      </w:sdt>
      <w:r w:rsidRPr="00655BEA">
        <w:rPr>
          <w:rFonts w:ascii="Times New Roman" w:hAnsi="Times New Roman" w:cs="Times New Roman"/>
          <w:sz w:val="24"/>
          <w:szCs w:val="24"/>
        </w:rPr>
        <w:t xml:space="preserve">.’ Defamation also constitutes a civil wrong in Common Law Jurisdictions. The state of Florida refers to it as tort of defamation, and categorizes it as either slander or libel.  Slander constitutes a spoken communication of false </w:t>
      </w:r>
      <w:r w:rsidR="005D575D" w:rsidRPr="00655BEA">
        <w:rPr>
          <w:rFonts w:ascii="Times New Roman" w:hAnsi="Times New Roman" w:cs="Times New Roman"/>
          <w:sz w:val="24"/>
          <w:szCs w:val="24"/>
        </w:rPr>
        <w:t xml:space="preserve">statement that damages one’s reputation, while libel is a written or published record of false statement. </w:t>
      </w:r>
      <w:r w:rsidR="00553FEA" w:rsidRPr="00655BEA">
        <w:rPr>
          <w:rFonts w:ascii="Times New Roman" w:hAnsi="Times New Roman" w:cs="Times New Roman"/>
          <w:sz w:val="24"/>
          <w:szCs w:val="24"/>
        </w:rPr>
        <w:t>It is also crucial that the defendant provide adequate information in the statement such that the plaintiff is identifiable. All torts require the presiding judge to establish precedence.</w:t>
      </w:r>
    </w:p>
    <w:p w:rsidR="00F047CC" w:rsidRPr="00655BEA" w:rsidRDefault="005D575D" w:rsidP="00655BEA">
      <w:pPr>
        <w:spacing w:line="480" w:lineRule="auto"/>
        <w:ind w:firstLine="720"/>
        <w:rPr>
          <w:rFonts w:ascii="Times New Roman" w:hAnsi="Times New Roman" w:cs="Times New Roman"/>
          <w:sz w:val="24"/>
          <w:szCs w:val="24"/>
        </w:rPr>
      </w:pPr>
      <w:r w:rsidRPr="00655BEA">
        <w:rPr>
          <w:rFonts w:ascii="Times New Roman" w:hAnsi="Times New Roman" w:cs="Times New Roman"/>
          <w:sz w:val="24"/>
          <w:szCs w:val="24"/>
        </w:rPr>
        <w:t xml:space="preserve">Under Florida law, five elements are necessary to constitute defamation; publication, falsity, actual damages, and a defamatory statement. The last element stipulates that the actor must have acted with knowledge or reckless disregard as to the falsity on a matter concerning a public official, or at least negligently on a matter concerning a private citizen. The last element </w:t>
      </w:r>
      <w:r w:rsidR="00D944AC" w:rsidRPr="00655BEA">
        <w:rPr>
          <w:rFonts w:ascii="Times New Roman" w:hAnsi="Times New Roman" w:cs="Times New Roman"/>
          <w:sz w:val="24"/>
          <w:szCs w:val="24"/>
        </w:rPr>
        <w:t>holds the actions of the defendant constitute ordinary negligence. Ordinary negligence is the trait of care that is possible to exercise for a reasonably prudent person in the same situation</w:t>
      </w:r>
      <w:r w:rsidR="00553FEA" w:rsidRPr="00655BEA">
        <w:rPr>
          <w:rFonts w:ascii="Times New Roman" w:hAnsi="Times New Roman" w:cs="Times New Roman"/>
          <w:sz w:val="24"/>
          <w:szCs w:val="24"/>
        </w:rPr>
        <w:t xml:space="preserve"> </w:t>
      </w:r>
      <w:sdt>
        <w:sdtPr>
          <w:rPr>
            <w:rFonts w:ascii="Times New Roman" w:hAnsi="Times New Roman" w:cs="Times New Roman"/>
            <w:sz w:val="24"/>
            <w:szCs w:val="24"/>
          </w:rPr>
          <w:id w:val="37589099"/>
          <w:citation/>
        </w:sdtPr>
        <w:sdtContent>
          <w:r w:rsidR="00553FEA" w:rsidRPr="00655BEA">
            <w:rPr>
              <w:rFonts w:ascii="Times New Roman" w:hAnsi="Times New Roman" w:cs="Times New Roman"/>
              <w:sz w:val="24"/>
              <w:szCs w:val="24"/>
            </w:rPr>
            <w:fldChar w:fldCharType="begin"/>
          </w:r>
          <w:r w:rsidR="00553FEA" w:rsidRPr="00655BEA">
            <w:rPr>
              <w:rFonts w:ascii="Times New Roman" w:hAnsi="Times New Roman" w:cs="Times New Roman"/>
              <w:sz w:val="24"/>
              <w:szCs w:val="24"/>
            </w:rPr>
            <w:instrText xml:space="preserve"> CITATION The194 \l 1033 </w:instrText>
          </w:r>
          <w:r w:rsidR="00553FEA" w:rsidRPr="00655BEA">
            <w:rPr>
              <w:rFonts w:ascii="Times New Roman" w:hAnsi="Times New Roman" w:cs="Times New Roman"/>
              <w:sz w:val="24"/>
              <w:szCs w:val="24"/>
            </w:rPr>
            <w:fldChar w:fldCharType="separate"/>
          </w:r>
          <w:r w:rsidR="00553FEA" w:rsidRPr="00655BEA">
            <w:rPr>
              <w:rFonts w:ascii="Times New Roman" w:hAnsi="Times New Roman" w:cs="Times New Roman"/>
              <w:noProof/>
              <w:sz w:val="24"/>
              <w:szCs w:val="24"/>
            </w:rPr>
            <w:t>(The Florida legislation)</w:t>
          </w:r>
          <w:r w:rsidR="00553FEA" w:rsidRPr="00655BEA">
            <w:rPr>
              <w:rFonts w:ascii="Times New Roman" w:hAnsi="Times New Roman" w:cs="Times New Roman"/>
              <w:sz w:val="24"/>
              <w:szCs w:val="24"/>
            </w:rPr>
            <w:fldChar w:fldCharType="end"/>
          </w:r>
        </w:sdtContent>
      </w:sdt>
      <w:r w:rsidR="00D944AC" w:rsidRPr="00655BEA">
        <w:rPr>
          <w:rFonts w:ascii="Times New Roman" w:hAnsi="Times New Roman" w:cs="Times New Roman"/>
          <w:sz w:val="24"/>
          <w:szCs w:val="24"/>
        </w:rPr>
        <w:t xml:space="preserve">. For a statement about business conduct to amount to defamation, it must possess evident structure meant to ensure that the character is unfit for business. </w:t>
      </w:r>
    </w:p>
    <w:p w:rsidR="00553FEA" w:rsidRPr="00655BEA" w:rsidRDefault="00553FEA" w:rsidP="00655BEA">
      <w:pPr>
        <w:spacing w:line="480" w:lineRule="auto"/>
        <w:ind w:firstLine="720"/>
        <w:rPr>
          <w:rFonts w:ascii="Times New Roman" w:hAnsi="Times New Roman" w:cs="Times New Roman"/>
          <w:sz w:val="24"/>
          <w:szCs w:val="24"/>
        </w:rPr>
      </w:pPr>
      <w:r w:rsidRPr="00655BEA">
        <w:rPr>
          <w:rFonts w:ascii="Times New Roman" w:hAnsi="Times New Roman" w:cs="Times New Roman"/>
          <w:sz w:val="24"/>
          <w:szCs w:val="24"/>
        </w:rPr>
        <w:t xml:space="preserve">Fitch committed torts of defamation and negligence. The information provided by Fitch, under foreseeable circumstances will lead to Watson losing consideration for the position. The statements also adhere to the causation doctrine under negligence. The statement claiming Watson’s involvement is false, since Fitch had no evidence of the same </w:t>
      </w:r>
      <w:sdt>
        <w:sdtPr>
          <w:rPr>
            <w:rFonts w:ascii="Times New Roman" w:hAnsi="Times New Roman" w:cs="Times New Roman"/>
            <w:sz w:val="24"/>
            <w:szCs w:val="24"/>
          </w:rPr>
          <w:id w:val="37589136"/>
          <w:citation/>
        </w:sdtPr>
        <w:sdtContent>
          <w:r w:rsidRPr="00655BEA">
            <w:rPr>
              <w:rFonts w:ascii="Times New Roman" w:hAnsi="Times New Roman" w:cs="Times New Roman"/>
              <w:sz w:val="24"/>
              <w:szCs w:val="24"/>
            </w:rPr>
            <w:fldChar w:fldCharType="begin"/>
          </w:r>
          <w:r w:rsidRPr="00655BEA">
            <w:rPr>
              <w:rFonts w:ascii="Times New Roman" w:hAnsi="Times New Roman" w:cs="Times New Roman"/>
              <w:sz w:val="24"/>
              <w:szCs w:val="24"/>
            </w:rPr>
            <w:instrText xml:space="preserve"> CITATION Bab17 \l 1033 </w:instrText>
          </w:r>
          <w:r w:rsidRPr="00655BEA">
            <w:rPr>
              <w:rFonts w:ascii="Times New Roman" w:hAnsi="Times New Roman" w:cs="Times New Roman"/>
              <w:sz w:val="24"/>
              <w:szCs w:val="24"/>
            </w:rPr>
            <w:fldChar w:fldCharType="separate"/>
          </w:r>
          <w:r w:rsidRPr="00655BEA">
            <w:rPr>
              <w:rFonts w:ascii="Times New Roman" w:hAnsi="Times New Roman" w:cs="Times New Roman"/>
              <w:noProof/>
              <w:sz w:val="24"/>
              <w:szCs w:val="24"/>
            </w:rPr>
            <w:t>(Babbitt, 2017)</w:t>
          </w:r>
          <w:r w:rsidRPr="00655BEA">
            <w:rPr>
              <w:rFonts w:ascii="Times New Roman" w:hAnsi="Times New Roman" w:cs="Times New Roman"/>
              <w:sz w:val="24"/>
              <w:szCs w:val="24"/>
            </w:rPr>
            <w:fldChar w:fldCharType="end"/>
          </w:r>
        </w:sdtContent>
      </w:sdt>
      <w:r w:rsidRPr="00655BEA">
        <w:rPr>
          <w:rFonts w:ascii="Times New Roman" w:hAnsi="Times New Roman" w:cs="Times New Roman"/>
          <w:sz w:val="24"/>
          <w:szCs w:val="24"/>
        </w:rPr>
        <w:t xml:space="preserve">. The statement is false, and the purpose is to ensure Watson does not get the job position. Since the communication of the statements was over the phone, the defamation type is slander. </w:t>
      </w:r>
    </w:p>
    <w:p w:rsidR="00F047CC" w:rsidRPr="00655BEA" w:rsidRDefault="00F047CC" w:rsidP="00655BEA">
      <w:pPr>
        <w:spacing w:line="480" w:lineRule="auto"/>
        <w:rPr>
          <w:rFonts w:ascii="Times New Roman" w:hAnsi="Times New Roman" w:cs="Times New Roman"/>
          <w:b/>
          <w:sz w:val="24"/>
          <w:szCs w:val="24"/>
        </w:rPr>
      </w:pPr>
      <w:r w:rsidRPr="00655BEA">
        <w:rPr>
          <w:rFonts w:ascii="Times New Roman" w:hAnsi="Times New Roman" w:cs="Times New Roman"/>
          <w:b/>
          <w:sz w:val="24"/>
          <w:szCs w:val="24"/>
        </w:rPr>
        <w:t xml:space="preserve">Scenario 4: Intellectual Property </w:t>
      </w:r>
    </w:p>
    <w:p w:rsidR="00F047CC" w:rsidRPr="00655BEA" w:rsidRDefault="00C04599" w:rsidP="00655BEA">
      <w:pPr>
        <w:spacing w:line="480" w:lineRule="auto"/>
        <w:rPr>
          <w:rFonts w:ascii="Times New Roman" w:hAnsi="Times New Roman" w:cs="Times New Roman"/>
          <w:b/>
          <w:sz w:val="24"/>
          <w:szCs w:val="24"/>
        </w:rPr>
      </w:pPr>
      <w:r w:rsidRPr="00655BEA">
        <w:rPr>
          <w:rFonts w:ascii="Times New Roman" w:hAnsi="Times New Roman" w:cs="Times New Roman"/>
          <w:b/>
          <w:sz w:val="24"/>
          <w:szCs w:val="24"/>
        </w:rPr>
        <w:t>Did Talley violate any intellectual property laws?</w:t>
      </w:r>
    </w:p>
    <w:p w:rsidR="00655BEA" w:rsidRPr="00655BEA" w:rsidRDefault="00E000EA" w:rsidP="00655BEA">
      <w:pPr>
        <w:spacing w:line="480" w:lineRule="auto"/>
        <w:ind w:firstLine="720"/>
        <w:rPr>
          <w:rFonts w:ascii="Times New Roman" w:hAnsi="Times New Roman" w:cs="Times New Roman"/>
          <w:sz w:val="24"/>
          <w:szCs w:val="24"/>
        </w:rPr>
      </w:pPr>
      <w:r w:rsidRPr="00655BEA">
        <w:rPr>
          <w:rFonts w:ascii="Times New Roman" w:hAnsi="Times New Roman" w:cs="Times New Roman"/>
          <w:sz w:val="24"/>
          <w:szCs w:val="24"/>
        </w:rPr>
        <w:lastRenderedPageBreak/>
        <w:t xml:space="preserve">Intellectual property law dictates that the person responsible for capturing or creation of an image holds its copyrights. If use of such images without permission affects the creator, then the person using has infringement on the copyrights. Under Florida law, a person has the right to reproduce the work for which she or he has the copyrights to. The creator also has the sole right to disclose their work publicly, with or without their name attached. Under copyright law, use of just a part of the image, or transforming the image so that it does not resemble the original </w:t>
      </w:r>
      <w:r w:rsidR="00E02392" w:rsidRPr="00655BEA">
        <w:rPr>
          <w:rFonts w:ascii="Times New Roman" w:hAnsi="Times New Roman" w:cs="Times New Roman"/>
          <w:sz w:val="24"/>
          <w:szCs w:val="24"/>
        </w:rPr>
        <w:t xml:space="preserve">does not constitute copyright infringement. Talley’s use involves copying and pasting to the website, hence she makes full use of the image without any transformation processes. </w:t>
      </w:r>
      <w:r w:rsidRPr="00655BEA">
        <w:rPr>
          <w:rFonts w:ascii="Times New Roman" w:hAnsi="Times New Roman" w:cs="Times New Roman"/>
          <w:sz w:val="24"/>
          <w:szCs w:val="24"/>
        </w:rPr>
        <w:t xml:space="preserve">Therefore, Talley is actually in violation of intellectual property laws. However, the fair use doctrine stipulates that the use of an image may surmount to a criteria that may not amount to copyright. The fair use doctrine mandates that if the use of the image by the second party is for criticism, commenting, teaching, scholarships, research or news reporting, the party is not breaking any intellectual property laws. However, Talley’s use is not identified in the context provided, and thus fair use is not an applicable defense. </w:t>
      </w:r>
    </w:p>
    <w:p w:rsidR="00655BEA" w:rsidRPr="00655BEA" w:rsidRDefault="00655BEA" w:rsidP="00655BEA">
      <w:pPr>
        <w:spacing w:line="480" w:lineRule="auto"/>
        <w:rPr>
          <w:rFonts w:ascii="Times New Roman" w:hAnsi="Times New Roman" w:cs="Times New Roman"/>
          <w:sz w:val="24"/>
          <w:szCs w:val="24"/>
        </w:rPr>
      </w:pPr>
      <w:r w:rsidRPr="00655BEA">
        <w:rPr>
          <w:rFonts w:ascii="Times New Roman" w:hAnsi="Times New Roman" w:cs="Times New Roman"/>
          <w:sz w:val="24"/>
          <w:szCs w:val="24"/>
        </w:rPr>
        <w:br w:type="page"/>
      </w:r>
    </w:p>
    <w:sdt>
      <w:sdtPr>
        <w:rPr>
          <w:rFonts w:ascii="Times New Roman" w:hAnsi="Times New Roman" w:cs="Times New Roman"/>
          <w:color w:val="auto"/>
          <w:sz w:val="24"/>
          <w:szCs w:val="24"/>
        </w:rPr>
        <w:id w:val="37589137"/>
        <w:docPartObj>
          <w:docPartGallery w:val="Bibliographies"/>
          <w:docPartUnique/>
        </w:docPartObj>
      </w:sdtPr>
      <w:sdtEndPr>
        <w:rPr>
          <w:rFonts w:eastAsiaTheme="minorEastAsia"/>
          <w:b w:val="0"/>
          <w:bCs w:val="0"/>
          <w:lang w:bidi="ar-SA"/>
        </w:rPr>
      </w:sdtEndPr>
      <w:sdtContent>
        <w:p w:rsidR="00655BEA" w:rsidRPr="00655BEA" w:rsidRDefault="00655BEA" w:rsidP="00655BEA">
          <w:pPr>
            <w:pStyle w:val="Heading1"/>
            <w:spacing w:line="480" w:lineRule="auto"/>
            <w:jc w:val="center"/>
            <w:rPr>
              <w:rFonts w:ascii="Times New Roman" w:hAnsi="Times New Roman" w:cs="Times New Roman"/>
              <w:color w:val="auto"/>
              <w:sz w:val="24"/>
              <w:szCs w:val="24"/>
            </w:rPr>
          </w:pPr>
          <w:r w:rsidRPr="00655BEA">
            <w:rPr>
              <w:rFonts w:ascii="Times New Roman" w:hAnsi="Times New Roman" w:cs="Times New Roman"/>
              <w:color w:val="auto"/>
              <w:sz w:val="24"/>
              <w:szCs w:val="24"/>
            </w:rPr>
            <w:t xml:space="preserve">References </w:t>
          </w:r>
        </w:p>
        <w:sdt>
          <w:sdtPr>
            <w:rPr>
              <w:rFonts w:ascii="Times New Roman" w:hAnsi="Times New Roman" w:cs="Times New Roman"/>
              <w:sz w:val="24"/>
              <w:szCs w:val="24"/>
            </w:rPr>
            <w:id w:val="111145805"/>
            <w:bibliography/>
          </w:sdtPr>
          <w:sdtContent>
            <w:p w:rsidR="00655BEA" w:rsidRPr="00655BEA" w:rsidRDefault="00655BEA" w:rsidP="00655BEA">
              <w:pPr>
                <w:pStyle w:val="Bibliography"/>
                <w:spacing w:after="0" w:line="480" w:lineRule="auto"/>
                <w:ind w:left="720" w:hanging="720"/>
                <w:rPr>
                  <w:rFonts w:ascii="Times New Roman" w:hAnsi="Times New Roman" w:cs="Times New Roman"/>
                  <w:noProof/>
                  <w:sz w:val="24"/>
                  <w:szCs w:val="24"/>
                </w:rPr>
              </w:pPr>
              <w:r w:rsidRPr="00655BEA">
                <w:rPr>
                  <w:rFonts w:ascii="Times New Roman" w:hAnsi="Times New Roman" w:cs="Times New Roman"/>
                  <w:sz w:val="24"/>
                  <w:szCs w:val="24"/>
                </w:rPr>
                <w:fldChar w:fldCharType="begin"/>
              </w:r>
              <w:r w:rsidRPr="00655BEA">
                <w:rPr>
                  <w:rFonts w:ascii="Times New Roman" w:hAnsi="Times New Roman" w:cs="Times New Roman"/>
                  <w:sz w:val="24"/>
                  <w:szCs w:val="24"/>
                </w:rPr>
                <w:instrText xml:space="preserve"> BIBLIOGRAPHY </w:instrText>
              </w:r>
              <w:r w:rsidRPr="00655BEA">
                <w:rPr>
                  <w:rFonts w:ascii="Times New Roman" w:hAnsi="Times New Roman" w:cs="Times New Roman"/>
                  <w:sz w:val="24"/>
                  <w:szCs w:val="24"/>
                </w:rPr>
                <w:fldChar w:fldCharType="separate"/>
              </w:r>
              <w:r w:rsidRPr="00655BEA">
                <w:rPr>
                  <w:rFonts w:ascii="Times New Roman" w:hAnsi="Times New Roman" w:cs="Times New Roman"/>
                  <w:noProof/>
                  <w:sz w:val="24"/>
                  <w:szCs w:val="24"/>
                </w:rPr>
                <w:t xml:space="preserve">ACLU Florida. (n.d.). </w:t>
              </w:r>
              <w:r w:rsidRPr="00655BEA">
                <w:rPr>
                  <w:rFonts w:ascii="Times New Roman" w:hAnsi="Times New Roman" w:cs="Times New Roman"/>
                  <w:i/>
                  <w:iCs/>
                  <w:noProof/>
                  <w:sz w:val="24"/>
                  <w:szCs w:val="24"/>
                </w:rPr>
                <w:t>Know your rights: If you are approached or arrested by law enforcement (Police, Immigration Agents, or FBI)</w:t>
              </w:r>
              <w:r w:rsidRPr="00655BEA">
                <w:rPr>
                  <w:rFonts w:ascii="Times New Roman" w:hAnsi="Times New Roman" w:cs="Times New Roman"/>
                  <w:noProof/>
                  <w:sz w:val="24"/>
                  <w:szCs w:val="24"/>
                </w:rPr>
                <w:t>. Retrieved September 13, 2019, from ACLU Florida: https://www.aclufl.org/en/know-your-rights/know-your-rights-if-you-are-approached-or-arrested-law-enforcement-police</w:t>
              </w:r>
            </w:p>
            <w:p w:rsidR="00655BEA" w:rsidRPr="00655BEA" w:rsidRDefault="00655BEA" w:rsidP="00655BEA">
              <w:pPr>
                <w:pStyle w:val="Bibliography"/>
                <w:spacing w:line="480" w:lineRule="auto"/>
                <w:ind w:left="720" w:hanging="720"/>
                <w:rPr>
                  <w:rFonts w:ascii="Times New Roman" w:hAnsi="Times New Roman" w:cs="Times New Roman"/>
                  <w:noProof/>
                  <w:sz w:val="24"/>
                  <w:szCs w:val="24"/>
                </w:rPr>
              </w:pPr>
              <w:r w:rsidRPr="00655BEA">
                <w:rPr>
                  <w:rFonts w:ascii="Times New Roman" w:hAnsi="Times New Roman" w:cs="Times New Roman"/>
                  <w:noProof/>
                  <w:sz w:val="24"/>
                  <w:szCs w:val="24"/>
                </w:rPr>
                <w:t xml:space="preserve">Babbitt, T. (2017, November 19). </w:t>
              </w:r>
              <w:r w:rsidRPr="00655BEA">
                <w:rPr>
                  <w:rFonts w:ascii="Times New Roman" w:hAnsi="Times New Roman" w:cs="Times New Roman"/>
                  <w:i/>
                  <w:iCs/>
                  <w:noProof/>
                  <w:sz w:val="24"/>
                  <w:szCs w:val="24"/>
                </w:rPr>
                <w:t>Tort law inf Florid</w:t>
              </w:r>
              <w:r w:rsidRPr="00655BEA">
                <w:rPr>
                  <w:rFonts w:ascii="Times New Roman" w:hAnsi="Times New Roman" w:cs="Times New Roman"/>
                  <w:noProof/>
                  <w:sz w:val="24"/>
                  <w:szCs w:val="24"/>
                </w:rPr>
                <w:t>. Retrieved September 13, 2019, from The Palm Beach Post: https://www.palmbeachpost.com/marketing/tort-law-florida/AkyICjP1c3YUORK7PbQsXJ/</w:t>
              </w:r>
            </w:p>
            <w:p w:rsidR="00655BEA" w:rsidRPr="00655BEA" w:rsidRDefault="00655BEA" w:rsidP="00655BEA">
              <w:pPr>
                <w:pStyle w:val="Bibliography"/>
                <w:spacing w:line="480" w:lineRule="auto"/>
                <w:ind w:left="720" w:hanging="720"/>
                <w:rPr>
                  <w:rFonts w:ascii="Times New Roman" w:hAnsi="Times New Roman" w:cs="Times New Roman"/>
                  <w:noProof/>
                  <w:sz w:val="24"/>
                  <w:szCs w:val="24"/>
                </w:rPr>
              </w:pPr>
              <w:r w:rsidRPr="00655BEA">
                <w:rPr>
                  <w:rFonts w:ascii="Times New Roman" w:hAnsi="Times New Roman" w:cs="Times New Roman"/>
                  <w:noProof/>
                  <w:sz w:val="24"/>
                  <w:szCs w:val="24"/>
                </w:rPr>
                <w:t xml:space="preserve">Fenton, M. K. (2017, May 22). </w:t>
              </w:r>
              <w:r w:rsidRPr="00655BEA">
                <w:rPr>
                  <w:rFonts w:ascii="Times New Roman" w:hAnsi="Times New Roman" w:cs="Times New Roman"/>
                  <w:i/>
                  <w:iCs/>
                  <w:noProof/>
                  <w:sz w:val="24"/>
                  <w:szCs w:val="24"/>
                </w:rPr>
                <w:t>How Long do you have to File a Worngful Termination Claim in Florida</w:t>
              </w:r>
              <w:r w:rsidRPr="00655BEA">
                <w:rPr>
                  <w:rFonts w:ascii="Times New Roman" w:hAnsi="Times New Roman" w:cs="Times New Roman"/>
                  <w:noProof/>
                  <w:sz w:val="24"/>
                  <w:szCs w:val="24"/>
                </w:rPr>
                <w:t>. Retrieved September 22, 2019, from Wenzel Fenton.com: https://www.wenzelfenton.com/blog/2017/05/22/long-file-wrongful-termination-claim-florida/</w:t>
              </w:r>
            </w:p>
            <w:p w:rsidR="00655BEA" w:rsidRPr="00655BEA" w:rsidRDefault="00655BEA" w:rsidP="00655BEA">
              <w:pPr>
                <w:pStyle w:val="Bibliography"/>
                <w:spacing w:line="480" w:lineRule="auto"/>
                <w:ind w:left="720" w:hanging="720"/>
                <w:rPr>
                  <w:rFonts w:ascii="Times New Roman" w:hAnsi="Times New Roman" w:cs="Times New Roman"/>
                  <w:noProof/>
                  <w:sz w:val="24"/>
                  <w:szCs w:val="24"/>
                </w:rPr>
              </w:pPr>
              <w:r w:rsidRPr="00655BEA">
                <w:rPr>
                  <w:rFonts w:ascii="Times New Roman" w:hAnsi="Times New Roman" w:cs="Times New Roman"/>
                  <w:noProof/>
                  <w:sz w:val="24"/>
                  <w:szCs w:val="24"/>
                </w:rPr>
                <w:t xml:space="preserve">Minc, A. (2018, May 4). </w:t>
              </w:r>
              <w:r w:rsidRPr="00655BEA">
                <w:rPr>
                  <w:rFonts w:ascii="Times New Roman" w:hAnsi="Times New Roman" w:cs="Times New Roman"/>
                  <w:i/>
                  <w:iCs/>
                  <w:noProof/>
                  <w:sz w:val="24"/>
                  <w:szCs w:val="24"/>
                </w:rPr>
                <w:t>The Minc Law Guide to Florida Defamation Law</w:t>
              </w:r>
              <w:r w:rsidRPr="00655BEA">
                <w:rPr>
                  <w:rFonts w:ascii="Times New Roman" w:hAnsi="Times New Roman" w:cs="Times New Roman"/>
                  <w:noProof/>
                  <w:sz w:val="24"/>
                  <w:szCs w:val="24"/>
                </w:rPr>
                <w:t>. Retrieved September 13, 2019, from Minc Law: https://www.minclaw.com/florida-defamation-law-state-guide/</w:t>
              </w:r>
            </w:p>
            <w:p w:rsidR="00655BEA" w:rsidRPr="00655BEA" w:rsidRDefault="00655BEA" w:rsidP="00655BEA">
              <w:pPr>
                <w:pStyle w:val="Bibliography"/>
                <w:spacing w:line="480" w:lineRule="auto"/>
                <w:ind w:left="720" w:hanging="720"/>
                <w:rPr>
                  <w:rFonts w:ascii="Times New Roman" w:hAnsi="Times New Roman" w:cs="Times New Roman"/>
                  <w:noProof/>
                  <w:sz w:val="24"/>
                  <w:szCs w:val="24"/>
                </w:rPr>
              </w:pPr>
              <w:r w:rsidRPr="00655BEA">
                <w:rPr>
                  <w:rFonts w:ascii="Times New Roman" w:hAnsi="Times New Roman" w:cs="Times New Roman"/>
                  <w:noProof/>
                  <w:sz w:val="24"/>
                  <w:szCs w:val="24"/>
                </w:rPr>
                <w:t xml:space="preserve">Pendas Law Firm. (2018, February 8). </w:t>
              </w:r>
              <w:r w:rsidRPr="00655BEA">
                <w:rPr>
                  <w:rFonts w:ascii="Times New Roman" w:hAnsi="Times New Roman" w:cs="Times New Roman"/>
                  <w:i/>
                  <w:iCs/>
                  <w:noProof/>
                  <w:sz w:val="24"/>
                  <w:szCs w:val="24"/>
                </w:rPr>
                <w:t>OPTIONS AFTER LOSING AT TRIAL</w:t>
              </w:r>
              <w:r w:rsidRPr="00655BEA">
                <w:rPr>
                  <w:rFonts w:ascii="Times New Roman" w:hAnsi="Times New Roman" w:cs="Times New Roman"/>
                  <w:noProof/>
                  <w:sz w:val="24"/>
                  <w:szCs w:val="24"/>
                </w:rPr>
                <w:t>. Retrieved September 13, 2019, from Pendas Law Firm: https://www.pendaslaw.com/options-after-losing-at-trial/</w:t>
              </w:r>
            </w:p>
            <w:p w:rsidR="00655BEA" w:rsidRPr="00655BEA" w:rsidRDefault="00655BEA" w:rsidP="00655BEA">
              <w:pPr>
                <w:pStyle w:val="Bibliography"/>
                <w:spacing w:line="480" w:lineRule="auto"/>
                <w:ind w:left="720" w:hanging="720"/>
                <w:rPr>
                  <w:rFonts w:ascii="Times New Roman" w:hAnsi="Times New Roman" w:cs="Times New Roman"/>
                  <w:noProof/>
                  <w:sz w:val="24"/>
                  <w:szCs w:val="24"/>
                </w:rPr>
              </w:pPr>
              <w:r w:rsidRPr="00655BEA">
                <w:rPr>
                  <w:rFonts w:ascii="Times New Roman" w:hAnsi="Times New Roman" w:cs="Times New Roman"/>
                  <w:noProof/>
                  <w:sz w:val="24"/>
                  <w:szCs w:val="24"/>
                </w:rPr>
                <w:t>Pennsylvania v. Mimms, 434 U.S. 106 (1977) (Supreme Court of United States December 5, 1977).</w:t>
              </w:r>
            </w:p>
            <w:p w:rsidR="00655BEA" w:rsidRPr="00655BEA" w:rsidRDefault="00655BEA" w:rsidP="00655BEA">
              <w:pPr>
                <w:pStyle w:val="Bibliography"/>
                <w:spacing w:line="480" w:lineRule="auto"/>
                <w:ind w:left="720" w:hanging="720"/>
                <w:rPr>
                  <w:rFonts w:ascii="Times New Roman" w:hAnsi="Times New Roman" w:cs="Times New Roman"/>
                  <w:noProof/>
                  <w:sz w:val="24"/>
                  <w:szCs w:val="24"/>
                </w:rPr>
              </w:pPr>
              <w:r w:rsidRPr="00655BEA">
                <w:rPr>
                  <w:rFonts w:ascii="Times New Roman" w:hAnsi="Times New Roman" w:cs="Times New Roman"/>
                  <w:noProof/>
                  <w:sz w:val="24"/>
                  <w:szCs w:val="24"/>
                </w:rPr>
                <w:t xml:space="preserve">The Florida legislation. (n.d.). </w:t>
              </w:r>
              <w:r w:rsidRPr="00655BEA">
                <w:rPr>
                  <w:rFonts w:ascii="Times New Roman" w:hAnsi="Times New Roman" w:cs="Times New Roman"/>
                  <w:i/>
                  <w:iCs/>
                  <w:noProof/>
                  <w:sz w:val="24"/>
                  <w:szCs w:val="24"/>
                </w:rPr>
                <w:t>The 2019 Florida Statutes: Torts</w:t>
              </w:r>
              <w:r w:rsidRPr="00655BEA">
                <w:rPr>
                  <w:rFonts w:ascii="Times New Roman" w:hAnsi="Times New Roman" w:cs="Times New Roman"/>
                  <w:noProof/>
                  <w:sz w:val="24"/>
                  <w:szCs w:val="24"/>
                </w:rPr>
                <w:t xml:space="preserve">. Retrieved September 13, 2019, from The Florida legislation: </w:t>
              </w:r>
              <w:r w:rsidRPr="00655BEA">
                <w:rPr>
                  <w:rFonts w:ascii="Times New Roman" w:hAnsi="Times New Roman" w:cs="Times New Roman"/>
                  <w:noProof/>
                  <w:sz w:val="24"/>
                  <w:szCs w:val="24"/>
                </w:rPr>
                <w:lastRenderedPageBreak/>
                <w:t>http://www.leg.state.fl.us/statutes/index.cfm?App_mode=Display_Statute&amp;URL=0700-0799/0768/Sections/0768.81.html</w:t>
              </w:r>
            </w:p>
            <w:p w:rsidR="00655BEA" w:rsidRPr="00655BEA" w:rsidRDefault="00655BEA" w:rsidP="00655BEA">
              <w:pPr>
                <w:pStyle w:val="Bibliography"/>
                <w:spacing w:line="480" w:lineRule="auto"/>
                <w:ind w:left="720" w:hanging="720"/>
                <w:rPr>
                  <w:rFonts w:ascii="Times New Roman" w:hAnsi="Times New Roman" w:cs="Times New Roman"/>
                  <w:noProof/>
                  <w:sz w:val="24"/>
                  <w:szCs w:val="24"/>
                </w:rPr>
              </w:pPr>
              <w:r w:rsidRPr="00655BEA">
                <w:rPr>
                  <w:rFonts w:ascii="Times New Roman" w:hAnsi="Times New Roman" w:cs="Times New Roman"/>
                  <w:noProof/>
                  <w:sz w:val="24"/>
                  <w:szCs w:val="24"/>
                </w:rPr>
                <w:t xml:space="preserve">The Florida Legislature. (n.d.). </w:t>
              </w:r>
              <w:r w:rsidRPr="00655BEA">
                <w:rPr>
                  <w:rFonts w:ascii="Times New Roman" w:hAnsi="Times New Roman" w:cs="Times New Roman"/>
                  <w:i/>
                  <w:iCs/>
                  <w:noProof/>
                  <w:sz w:val="24"/>
                  <w:szCs w:val="24"/>
                </w:rPr>
                <w:t>The 2019 Florida Statutes</w:t>
              </w:r>
              <w:r w:rsidRPr="00655BEA">
                <w:rPr>
                  <w:rFonts w:ascii="Times New Roman" w:hAnsi="Times New Roman" w:cs="Times New Roman"/>
                  <w:noProof/>
                  <w:sz w:val="24"/>
                  <w:szCs w:val="24"/>
                </w:rPr>
                <w:t>. Retrieved September 13, 2019, from The Florida Legislature: http://www.leg.state.fl.us/statutes/index.cfm?App_mode=Display_Statute&amp;URL=0900-0999/0901/Sections/0901.151.html</w:t>
              </w:r>
            </w:p>
            <w:p w:rsidR="00655BEA" w:rsidRPr="00655BEA" w:rsidRDefault="00655BEA" w:rsidP="00655BEA">
              <w:pPr>
                <w:pStyle w:val="Bibliography"/>
                <w:spacing w:line="480" w:lineRule="auto"/>
                <w:ind w:left="720" w:hanging="720"/>
                <w:rPr>
                  <w:rFonts w:ascii="Times New Roman" w:hAnsi="Times New Roman" w:cs="Times New Roman"/>
                  <w:noProof/>
                  <w:sz w:val="24"/>
                  <w:szCs w:val="24"/>
                </w:rPr>
              </w:pPr>
              <w:r w:rsidRPr="00655BEA">
                <w:rPr>
                  <w:rFonts w:ascii="Times New Roman" w:hAnsi="Times New Roman" w:cs="Times New Roman"/>
                  <w:noProof/>
                  <w:sz w:val="24"/>
                  <w:szCs w:val="24"/>
                </w:rPr>
                <w:t xml:space="preserve">Wrongful Termination Settlements. (Wrongful Termination Settlements). </w:t>
              </w:r>
              <w:r w:rsidRPr="00655BEA">
                <w:rPr>
                  <w:rFonts w:ascii="Times New Roman" w:hAnsi="Times New Roman" w:cs="Times New Roman"/>
                  <w:i/>
                  <w:iCs/>
                  <w:noProof/>
                  <w:sz w:val="24"/>
                  <w:szCs w:val="24"/>
                </w:rPr>
                <w:t>Florida Wrongful Termination Statute of Limitations</w:t>
              </w:r>
              <w:r w:rsidRPr="00655BEA">
                <w:rPr>
                  <w:rFonts w:ascii="Times New Roman" w:hAnsi="Times New Roman" w:cs="Times New Roman"/>
                  <w:noProof/>
                  <w:sz w:val="24"/>
                  <w:szCs w:val="24"/>
                </w:rPr>
                <w:t>. Retrieved September 13, 2019, from https://www.wrongfulterminationsettlements.com/statute-of-limitations/florida/</w:t>
              </w:r>
            </w:p>
            <w:p w:rsidR="00655BEA" w:rsidRPr="00655BEA" w:rsidRDefault="00655BEA" w:rsidP="00655BEA">
              <w:pPr>
                <w:spacing w:line="480" w:lineRule="auto"/>
                <w:ind w:left="720" w:hanging="720"/>
                <w:rPr>
                  <w:rFonts w:ascii="Times New Roman" w:hAnsi="Times New Roman" w:cs="Times New Roman"/>
                  <w:sz w:val="24"/>
                  <w:szCs w:val="24"/>
                </w:rPr>
              </w:pPr>
              <w:r w:rsidRPr="00655BEA">
                <w:rPr>
                  <w:rFonts w:ascii="Times New Roman" w:hAnsi="Times New Roman" w:cs="Times New Roman"/>
                  <w:sz w:val="24"/>
                  <w:szCs w:val="24"/>
                </w:rPr>
                <w:fldChar w:fldCharType="end"/>
              </w:r>
            </w:p>
          </w:sdtContent>
        </w:sdt>
      </w:sdtContent>
    </w:sdt>
    <w:p w:rsidR="00C04599" w:rsidRPr="00655BEA" w:rsidRDefault="00C04599" w:rsidP="00655BEA">
      <w:pPr>
        <w:spacing w:line="480" w:lineRule="auto"/>
        <w:ind w:firstLine="720"/>
        <w:rPr>
          <w:rFonts w:ascii="Times New Roman" w:hAnsi="Times New Roman" w:cs="Times New Roman"/>
          <w:sz w:val="24"/>
          <w:szCs w:val="24"/>
        </w:rPr>
      </w:pPr>
    </w:p>
    <w:sectPr w:rsidR="00C04599" w:rsidRPr="00655BEA" w:rsidSect="00655B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590A" w:rsidRDefault="00C8590A" w:rsidP="00655BEA">
      <w:pPr>
        <w:spacing w:after="0" w:line="240" w:lineRule="auto"/>
      </w:pPr>
      <w:r>
        <w:separator/>
      </w:r>
    </w:p>
  </w:endnote>
  <w:endnote w:type="continuationSeparator" w:id="1">
    <w:p w:rsidR="00C8590A" w:rsidRDefault="00C8590A" w:rsidP="00655B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590A" w:rsidRDefault="00C8590A" w:rsidP="00655BEA">
      <w:pPr>
        <w:spacing w:after="0" w:line="240" w:lineRule="auto"/>
      </w:pPr>
      <w:r>
        <w:separator/>
      </w:r>
    </w:p>
  </w:footnote>
  <w:footnote w:type="continuationSeparator" w:id="1">
    <w:p w:rsidR="00C8590A" w:rsidRDefault="00C8590A" w:rsidP="00655B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EA" w:rsidRPr="00655BEA" w:rsidRDefault="00655BEA">
    <w:pPr>
      <w:pStyle w:val="Header"/>
      <w:jc w:val="right"/>
      <w:rPr>
        <w:rFonts w:ascii="Times New Roman" w:hAnsi="Times New Roman" w:cs="Times New Roman"/>
        <w:sz w:val="24"/>
      </w:rPr>
    </w:pPr>
    <w:r w:rsidRPr="00655BEA">
      <w:rPr>
        <w:rFonts w:ascii="Times New Roman" w:hAnsi="Times New Roman" w:cs="Times New Roman"/>
        <w:sz w:val="24"/>
      </w:rPr>
      <w:t xml:space="preserve">LEGAL AND ETHICAL CASE CONSIDERATIONS </w:t>
    </w:r>
    <w:r w:rsidRPr="00655BEA">
      <w:rPr>
        <w:rFonts w:ascii="Times New Roman" w:hAnsi="Times New Roman" w:cs="Times New Roman"/>
        <w:sz w:val="24"/>
      </w:rPr>
      <w:tab/>
    </w:r>
    <w:sdt>
      <w:sdtPr>
        <w:rPr>
          <w:rFonts w:ascii="Times New Roman" w:hAnsi="Times New Roman" w:cs="Times New Roman"/>
          <w:sz w:val="24"/>
        </w:rPr>
        <w:id w:val="37589144"/>
        <w:docPartObj>
          <w:docPartGallery w:val="Page Numbers (Top of Page)"/>
          <w:docPartUnique/>
        </w:docPartObj>
      </w:sdtPr>
      <w:sdtContent>
        <w:r w:rsidRPr="00655BEA">
          <w:rPr>
            <w:rFonts w:ascii="Times New Roman" w:hAnsi="Times New Roman" w:cs="Times New Roman"/>
            <w:sz w:val="24"/>
          </w:rPr>
          <w:fldChar w:fldCharType="begin"/>
        </w:r>
        <w:r w:rsidRPr="00655BEA">
          <w:rPr>
            <w:rFonts w:ascii="Times New Roman" w:hAnsi="Times New Roman" w:cs="Times New Roman"/>
            <w:sz w:val="24"/>
          </w:rPr>
          <w:instrText xml:space="preserve"> PAGE   \* MERGEFORMAT </w:instrText>
        </w:r>
        <w:r w:rsidRPr="00655BEA">
          <w:rPr>
            <w:rFonts w:ascii="Times New Roman" w:hAnsi="Times New Roman" w:cs="Times New Roman"/>
            <w:sz w:val="24"/>
          </w:rPr>
          <w:fldChar w:fldCharType="separate"/>
        </w:r>
        <w:r>
          <w:rPr>
            <w:rFonts w:ascii="Times New Roman" w:hAnsi="Times New Roman" w:cs="Times New Roman"/>
            <w:noProof/>
            <w:sz w:val="24"/>
          </w:rPr>
          <w:t>8</w:t>
        </w:r>
        <w:r w:rsidRPr="00655BEA">
          <w:rPr>
            <w:rFonts w:ascii="Times New Roman" w:hAnsi="Times New Roman" w:cs="Times New Roman"/>
            <w:sz w:val="24"/>
          </w:rPr>
          <w:fldChar w:fldCharType="end"/>
        </w:r>
      </w:sdtContent>
    </w:sdt>
  </w:p>
  <w:p w:rsidR="00655BEA" w:rsidRPr="00655BEA" w:rsidRDefault="00655BEA">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EA" w:rsidRPr="00655BEA" w:rsidRDefault="00655BEA">
    <w:pPr>
      <w:pStyle w:val="Header"/>
      <w:jc w:val="right"/>
      <w:rPr>
        <w:rFonts w:ascii="Times New Roman" w:hAnsi="Times New Roman" w:cs="Times New Roman"/>
        <w:sz w:val="24"/>
      </w:rPr>
    </w:pPr>
    <w:r w:rsidRPr="00655BEA">
      <w:rPr>
        <w:rFonts w:ascii="Times New Roman" w:hAnsi="Times New Roman" w:cs="Times New Roman"/>
        <w:sz w:val="24"/>
      </w:rPr>
      <w:t xml:space="preserve">Running Head: LEGAL AND ETHICAL CASE CONSIDERATIONS </w:t>
    </w:r>
    <w:r w:rsidRPr="00655BEA">
      <w:rPr>
        <w:rFonts w:ascii="Times New Roman" w:hAnsi="Times New Roman" w:cs="Times New Roman"/>
        <w:sz w:val="24"/>
      </w:rPr>
      <w:tab/>
    </w:r>
    <w:sdt>
      <w:sdtPr>
        <w:rPr>
          <w:rFonts w:ascii="Times New Roman" w:hAnsi="Times New Roman" w:cs="Times New Roman"/>
          <w:sz w:val="24"/>
        </w:rPr>
        <w:id w:val="37589201"/>
        <w:docPartObj>
          <w:docPartGallery w:val="Page Numbers (Top of Page)"/>
          <w:docPartUnique/>
        </w:docPartObj>
      </w:sdtPr>
      <w:sdtContent>
        <w:r w:rsidRPr="00655BEA">
          <w:rPr>
            <w:rFonts w:ascii="Times New Roman" w:hAnsi="Times New Roman" w:cs="Times New Roman"/>
            <w:sz w:val="24"/>
          </w:rPr>
          <w:fldChar w:fldCharType="begin"/>
        </w:r>
        <w:r w:rsidRPr="00655BEA">
          <w:rPr>
            <w:rFonts w:ascii="Times New Roman" w:hAnsi="Times New Roman" w:cs="Times New Roman"/>
            <w:sz w:val="24"/>
          </w:rPr>
          <w:instrText xml:space="preserve"> PAGE   \* MERGEFORMAT </w:instrText>
        </w:r>
        <w:r w:rsidRPr="00655BEA">
          <w:rPr>
            <w:rFonts w:ascii="Times New Roman" w:hAnsi="Times New Roman" w:cs="Times New Roman"/>
            <w:sz w:val="24"/>
          </w:rPr>
          <w:fldChar w:fldCharType="separate"/>
        </w:r>
        <w:r>
          <w:rPr>
            <w:rFonts w:ascii="Times New Roman" w:hAnsi="Times New Roman" w:cs="Times New Roman"/>
            <w:noProof/>
            <w:sz w:val="24"/>
          </w:rPr>
          <w:t>1</w:t>
        </w:r>
        <w:r w:rsidRPr="00655BEA">
          <w:rPr>
            <w:rFonts w:ascii="Times New Roman" w:hAnsi="Times New Roman" w:cs="Times New Roman"/>
            <w:sz w:val="24"/>
          </w:rPr>
          <w:fldChar w:fldCharType="end"/>
        </w:r>
      </w:sdtContent>
    </w:sdt>
  </w:p>
  <w:p w:rsidR="00655BEA" w:rsidRPr="00655BEA" w:rsidRDefault="00655BEA">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047CC"/>
    <w:rsid w:val="00224CB3"/>
    <w:rsid w:val="00275485"/>
    <w:rsid w:val="004E601E"/>
    <w:rsid w:val="00501F08"/>
    <w:rsid w:val="00540737"/>
    <w:rsid w:val="00553FEA"/>
    <w:rsid w:val="005D575D"/>
    <w:rsid w:val="00655BEA"/>
    <w:rsid w:val="007062C2"/>
    <w:rsid w:val="00743523"/>
    <w:rsid w:val="008156B0"/>
    <w:rsid w:val="00C04599"/>
    <w:rsid w:val="00C37201"/>
    <w:rsid w:val="00C8590A"/>
    <w:rsid w:val="00D84061"/>
    <w:rsid w:val="00D944AC"/>
    <w:rsid w:val="00E000EA"/>
    <w:rsid w:val="00E02392"/>
    <w:rsid w:val="00F047CC"/>
    <w:rsid w:val="00FA46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55BE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72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201"/>
    <w:rPr>
      <w:rFonts w:ascii="Tahoma" w:hAnsi="Tahoma" w:cs="Tahoma"/>
      <w:sz w:val="16"/>
      <w:szCs w:val="16"/>
    </w:rPr>
  </w:style>
  <w:style w:type="character" w:customStyle="1" w:styleId="Heading1Char">
    <w:name w:val="Heading 1 Char"/>
    <w:basedOn w:val="DefaultParagraphFont"/>
    <w:link w:val="Heading1"/>
    <w:uiPriority w:val="9"/>
    <w:rsid w:val="00655BE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655BEA"/>
  </w:style>
  <w:style w:type="paragraph" w:styleId="Header">
    <w:name w:val="header"/>
    <w:basedOn w:val="Normal"/>
    <w:link w:val="HeaderChar"/>
    <w:uiPriority w:val="99"/>
    <w:unhideWhenUsed/>
    <w:rsid w:val="00655B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BEA"/>
  </w:style>
  <w:style w:type="paragraph" w:styleId="Footer">
    <w:name w:val="footer"/>
    <w:basedOn w:val="Normal"/>
    <w:link w:val="FooterChar"/>
    <w:uiPriority w:val="99"/>
    <w:semiHidden/>
    <w:unhideWhenUsed/>
    <w:rsid w:val="00655BE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5BE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Wrots</b:Tag>
    <b:SourceType>InternetSite</b:SourceType>
    <b:Guid>{C4ACD6A5-AFD0-4D61-AC08-D905B0787858}</b:Guid>
    <b:LCID>0</b:LCID>
    <b:Author>
      <b:Author>
        <b:Corporate>Wrongful Termination Settlements</b:Corporate>
      </b:Author>
    </b:Author>
    <b:Title>Florida Wrongful Termination Statute of Limitations</b:Title>
    <b:Year>Wrongful Termination Settlements</b:Year>
    <b:YearAccessed>2019</b:YearAccessed>
    <b:MonthAccessed>September</b:MonthAccessed>
    <b:DayAccessed>13</b:DayAccessed>
    <b:URL>https://www.wrongfulterminationsettlements.com/statute-of-limitations/florida/</b:URL>
    <b:RefOrder>2</b:RefOrder>
  </b:Source>
  <b:Source>
    <b:Tag>Fen171</b:Tag>
    <b:SourceType>InternetSite</b:SourceType>
    <b:Guid>{A80CFB3B-7BB5-4FB2-A27B-7296ED585012}</b:Guid>
    <b:LCID>0</b:LCID>
    <b:Author>
      <b:Author>
        <b:NameList>
          <b:Person>
            <b:Last>Fenton</b:Last>
            <b:First>Matthew</b:First>
            <b:Middle>K.</b:Middle>
          </b:Person>
        </b:NameList>
      </b:Author>
    </b:Author>
    <b:Title>How Long do you have to File a Worngful Termination Claim in Florida</b:Title>
    <b:InternetSiteTitle>Wenzel Fenton.com</b:InternetSiteTitle>
    <b:Year>2017</b:Year>
    <b:Month>May</b:Month>
    <b:Day>22</b:Day>
    <b:YearAccessed>2019</b:YearAccessed>
    <b:MonthAccessed>September</b:MonthAccessed>
    <b:DayAccessed>22</b:DayAccessed>
    <b:URL>https://www.wenzelfenton.com/blog/2017/05/22/long-file-wrongful-termination-claim-florida/</b:URL>
    <b:RefOrder>1</b:RefOrder>
  </b:Source>
  <b:Source>
    <b:Tag>Pen18</b:Tag>
    <b:SourceType>InternetSite</b:SourceType>
    <b:Guid>{11CE590E-A25A-4FB2-98E7-B9B027853E88}</b:Guid>
    <b:LCID>0</b:LCID>
    <b:Author>
      <b:Author>
        <b:Corporate>Pendas Law Firm</b:Corporate>
      </b:Author>
    </b:Author>
    <b:Title>OPTIONS AFTER LOSING AT TRIAL</b:Title>
    <b:InternetSiteTitle>Pendas Law Firm</b:InternetSiteTitle>
    <b:Year>2018</b:Year>
    <b:Month>February</b:Month>
    <b:Day>8</b:Day>
    <b:YearAccessed>2019</b:YearAccessed>
    <b:MonthAccessed>September</b:MonthAccessed>
    <b:DayAccessed>13</b:DayAccessed>
    <b:URL>https://www.pendaslaw.com/options-after-losing-at-trial/</b:URL>
    <b:RefOrder>3</b:RefOrder>
  </b:Source>
  <b:Source>
    <b:Tag>Pen77</b:Tag>
    <b:SourceType>Case</b:SourceType>
    <b:Guid>{67EB0FA9-BA3A-40B5-A14E-CC1699B09809}</b:Guid>
    <b:LCID>0</b:LCID>
    <b:Title>Pennsylvania v. Mimms</b:Title>
    <b:Year>1977</b:Year>
    <b:Month>December</b:Month>
    <b:Day>5</b:Day>
    <b:CaseNumber>434 U.S. 106 (1977)</b:CaseNumber>
    <b:Court>Supreme Court of United States</b:Court>
    <b:RefOrder>5</b:RefOrder>
  </b:Source>
  <b:Source>
    <b:Tag>ACL19</b:Tag>
    <b:SourceType>InternetSite</b:SourceType>
    <b:Guid>{FE13E289-E5E1-4766-BCDF-FE3923182C2F}</b:Guid>
    <b:LCID>0</b:LCID>
    <b:Title>Know your rights: If you are approached or arrested by law enforcement (Police, Immigration Agents, or FBI)</b:Title>
    <b:Author>
      <b:Author>
        <b:Corporate>ACLU Florida</b:Corporate>
      </b:Author>
    </b:Author>
    <b:InternetSiteTitle>ACLU Florida</b:InternetSiteTitle>
    <b:YearAccessed>2019</b:YearAccessed>
    <b:MonthAccessed>September</b:MonthAccessed>
    <b:DayAccessed>13</b:DayAccessed>
    <b:URL>https://www.aclufl.org/en/know-your-rights/know-your-rights-if-you-are-approached-or-arrested-law-enforcement-police</b:URL>
    <b:RefOrder>6</b:RefOrder>
  </b:Source>
  <b:Source>
    <b:Tag>The193</b:Tag>
    <b:SourceType>InternetSite</b:SourceType>
    <b:Guid>{542C78A7-4708-4236-ACC9-CB20E9DD5662}</b:Guid>
    <b:LCID>0</b:LCID>
    <b:Author>
      <b:Author>
        <b:Corporate>The Florida Legislature</b:Corporate>
      </b:Author>
    </b:Author>
    <b:Title>The 2019 Florida Statutes</b:Title>
    <b:InternetSiteTitle>The Florida Legislature</b:InternetSiteTitle>
    <b:YearAccessed>2019</b:YearAccessed>
    <b:MonthAccessed>September</b:MonthAccessed>
    <b:DayAccessed>13</b:DayAccessed>
    <b:URL>http://www.leg.state.fl.us/statutes/index.cfm?App_mode=Display_Statute&amp;URL=0900-0999/0901/Sections/0901.151.html</b:URL>
    <b:RefOrder>4</b:RefOrder>
  </b:Source>
  <b:Source>
    <b:Tag>Min18</b:Tag>
    <b:SourceType>InternetSite</b:SourceType>
    <b:Guid>{5D055826-2273-4F93-8045-532BE5073DB7}</b:Guid>
    <b:LCID>0</b:LCID>
    <b:Author>
      <b:Author>
        <b:NameList>
          <b:Person>
            <b:Last>Minc</b:Last>
            <b:First>Aaron</b:First>
          </b:Person>
        </b:NameList>
      </b:Author>
    </b:Author>
    <b:Title>The Minc Law Guide to Florida Defamation Law</b:Title>
    <b:InternetSiteTitle>Minc Law</b:InternetSiteTitle>
    <b:Year>2018</b:Year>
    <b:Month>May</b:Month>
    <b:Day>4</b:Day>
    <b:YearAccessed>2019</b:YearAccessed>
    <b:MonthAccessed>September</b:MonthAccessed>
    <b:DayAccessed>13</b:DayAccessed>
    <b:URL>https://www.minclaw.com/florida-defamation-law-state-guide/</b:URL>
    <b:RefOrder>7</b:RefOrder>
  </b:Source>
  <b:Source>
    <b:Tag>The194</b:Tag>
    <b:SourceType>InternetSite</b:SourceType>
    <b:Guid>{50BA5609-F805-400A-9FCB-7752F9B82BB6}</b:Guid>
    <b:LCID>0</b:LCID>
    <b:Author>
      <b:Author>
        <b:Corporate>The Florida legislation</b:Corporate>
      </b:Author>
    </b:Author>
    <b:Title>The 2019 Florida Statutes: Torts</b:Title>
    <b:InternetSiteTitle>The Florida legislation</b:InternetSiteTitle>
    <b:YearAccessed>2019</b:YearAccessed>
    <b:MonthAccessed>September</b:MonthAccessed>
    <b:DayAccessed>13</b:DayAccessed>
    <b:URL>http://www.leg.state.fl.us/statutes/index.cfm?App_mode=Display_Statute&amp;URL=0700-0799/0768/Sections/0768.81.html</b:URL>
    <b:RefOrder>8</b:RefOrder>
  </b:Source>
  <b:Source>
    <b:Tag>Bab17</b:Tag>
    <b:SourceType>InternetSite</b:SourceType>
    <b:Guid>{2E328114-33BE-4152-B3A1-AD4BE03AED54}</b:Guid>
    <b:LCID>0</b:LCID>
    <b:Author>
      <b:Author>
        <b:NameList>
          <b:Person>
            <b:Last>Babbitt</b:Last>
            <b:First>Ted</b:First>
          </b:Person>
        </b:NameList>
      </b:Author>
    </b:Author>
    <b:Title>Tort law inf Florid</b:Title>
    <b:InternetSiteTitle>The Palm Beach Post</b:InternetSiteTitle>
    <b:Year>2017</b:Year>
    <b:Month>November</b:Month>
    <b:Day>19</b:Day>
    <b:YearAccessed>2019</b:YearAccessed>
    <b:MonthAccessed>September</b:MonthAccessed>
    <b:DayAccessed>13</b:DayAccessed>
    <b:URL>https://www.palmbeachpost.com/marketing/tort-law-florida/AkyICjP1c3YUORK7PbQsXJ/</b:URL>
    <b:RefOrder>9</b:RefOrder>
  </b:Source>
</b:Sources>
</file>

<file path=customXml/itemProps1.xml><?xml version="1.0" encoding="utf-8"?>
<ds:datastoreItem xmlns:ds="http://schemas.openxmlformats.org/officeDocument/2006/customXml" ds:itemID="{B9A6B711-E8E5-4219-8875-EE490DAAD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TotalTime>
  <Pages>8</Pages>
  <Words>1657</Words>
  <Characters>9446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2019-09-13T09:37:00Z</dcterms:created>
  <dcterms:modified xsi:type="dcterms:W3CDTF">2019-09-13T19:11:00Z</dcterms:modified>
</cp:coreProperties>
</file>